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800"/>
        <w:jc w:val="center"/>
      </w:pPr>
      <w:r>
        <w:rPr>
          <w:rFonts w:ascii="Cambria" w:hAnsi="Cambria"/>
          <w:b/>
          <w:i w:val="0"/>
          <w:color w:val="1F4E79"/>
          <w:sz w:val="44"/>
        </w:rPr>
        <w:t>Laboratory Quality Policy, Objectives &amp; Indicators Guidance</w:t>
      </w:r>
    </w:p>
    <w:p>
      <w:pPr>
        <w:jc w:val="center"/>
      </w:pPr>
      <w:r>
        <w:rPr>
          <w:rFonts w:ascii="Cambria" w:hAnsi="Cambria"/>
          <w:b w:val="0"/>
          <w:i w:val="0"/>
          <w:color w:val="555555"/>
          <w:sz w:val="24"/>
        </w:rPr>
        <w:t>Guidance for translating laboratory quality commitments into measurable performance management</w:t>
      </w:r>
    </w:p>
    <w:p>
      <w:pPr>
        <w:spacing w:before="200"/>
        <w:jc w:val="center"/>
      </w:pPr>
      <w:r>
        <w:rPr>
          <w:rFonts w:ascii="Cambria" w:hAnsi="Cambria"/>
          <w:b/>
          <w:i w:val="0"/>
          <w:color w:val="1F4E79"/>
          <w:sz w:val="21"/>
        </w:rPr>
        <w:t>ISO 15189:2022 — Medical laboratories — Requirements for quality and competence</w:t>
      </w:r>
    </w:p>
    <w:tbl>
      <w:tblPr>
        <w:tblStyle w:val="TableGrid"/>
        <w:tblW w:type="auto" w:w="0"/>
        <w:jc w:val="center"/>
        <w:tblLook w:val="04A0"/>
      </w:tblPr>
      <w:tblGrid>
        <w:gridCol w:w="2339"/>
        <w:gridCol w:w="2339"/>
        <w:gridCol w:w="2339"/>
        <w:gridCol w:w="2339"/>
      </w:tblGrid>
      <w:tr>
        <w:trPr>
          <w:tblHeader w:val="true"/>
          <w:cantSplit/>
        </w:trPr>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Mar>
              <w:top w:w="70" w:type="dxa"/>
              <w:left w:w="80" w:type="dxa"/>
              <w:bottom w:w="70" w:type="dxa"/>
              <w:right w:w="80" w:type="dxa"/>
            </w:tcMar>
            <w:vAlign w:val="center"/>
          </w:tcPr>
          <w:p>
            <w:pPr>
              <w:spacing w:after="0" w:line="240" w:lineRule="auto"/>
            </w:pPr>
            <w:r>
              <w:rPr>
                <w:rFonts w:ascii="Cambria" w:hAnsi="Cambria"/>
                <w:b/>
                <w:i w:val="0"/>
                <w:color w:val="000000"/>
                <w:sz w:val="18"/>
              </w:rPr>
              <w:t>Document Code</w:t>
            </w:r>
          </w:p>
        </w:tc>
        <w:tc>
          <w:tcPr>
            <w:tcW w:type="dxa" w:w="2339"/>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8"/>
              </w:rPr>
              <w:t>LQMS-GDE-003</w:t>
            </w:r>
          </w:p>
        </w:tc>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Mar>
              <w:top w:w="70" w:type="dxa"/>
              <w:left w:w="80" w:type="dxa"/>
              <w:bottom w:w="70" w:type="dxa"/>
              <w:right w:w="80" w:type="dxa"/>
            </w:tcMar>
            <w:vAlign w:val="center"/>
          </w:tcPr>
          <w:p>
            <w:pPr>
              <w:spacing w:after="0" w:line="240" w:lineRule="auto"/>
            </w:pPr>
            <w:r>
              <w:rPr>
                <w:rFonts w:ascii="Cambria" w:hAnsi="Cambria"/>
                <w:b/>
                <w:i w:val="0"/>
                <w:color w:val="000000"/>
                <w:sz w:val="18"/>
              </w:rPr>
              <w:t>Version</w:t>
            </w:r>
          </w:p>
        </w:tc>
        <w:tc>
          <w:tcPr>
            <w:tcW w:type="dxa" w:w="2339"/>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8"/>
              </w:rPr>
              <w:t>1.0</w:t>
            </w:r>
          </w:p>
        </w:tc>
      </w:tr>
      <w:tr>
        <w:trPr>
          <w:cantSplit/>
        </w:trPr>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EAF3F8" w:val="clear"/>
            <w:tcMar>
              <w:top w:w="70" w:type="dxa"/>
              <w:left w:w="80" w:type="dxa"/>
              <w:bottom w:w="70" w:type="dxa"/>
              <w:right w:w="80" w:type="dxa"/>
            </w:tcMar>
            <w:vAlign w:val="top"/>
          </w:tcPr>
          <w:p>
            <w:pPr>
              <w:spacing w:after="0" w:line="240" w:lineRule="auto"/>
            </w:pPr>
            <w:r>
              <w:rPr>
                <w:rFonts w:ascii="Cambria" w:hAnsi="Cambria"/>
                <w:b w:val="0"/>
                <w:i w:val="0"/>
                <w:color w:val="000000"/>
                <w:sz w:val="18"/>
              </w:rPr>
              <w:t>Effective Date</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8"/>
              </w:rPr>
              <w:t>2026-09-19</w:t>
            </w:r>
          </w:p>
        </w:tc>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EAF3F8" w:val="clear"/>
            <w:tcMar>
              <w:top w:w="70" w:type="dxa"/>
              <w:left w:w="80" w:type="dxa"/>
              <w:bottom w:w="70" w:type="dxa"/>
              <w:right w:w="80" w:type="dxa"/>
            </w:tcMar>
            <w:vAlign w:val="top"/>
          </w:tcPr>
          <w:p>
            <w:pPr>
              <w:spacing w:after="0" w:line="240" w:lineRule="auto"/>
            </w:pPr>
            <w:r>
              <w:rPr>
                <w:rFonts w:ascii="Cambria" w:hAnsi="Cambria"/>
                <w:b w:val="0"/>
                <w:i w:val="0"/>
                <w:color w:val="000000"/>
                <w:sz w:val="18"/>
              </w:rPr>
              <w:t>Classification</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8"/>
              </w:rPr>
              <w:t>INTERNAL</w:t>
            </w:r>
          </w:p>
        </w:tc>
      </w:tr>
      <w:tr>
        <w:trPr>
          <w:cantSplit/>
        </w:trPr>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Mar>
              <w:top w:w="70" w:type="dxa"/>
              <w:left w:w="80" w:type="dxa"/>
              <w:bottom w:w="70" w:type="dxa"/>
              <w:right w:w="80" w:type="dxa"/>
            </w:tcMar>
            <w:vAlign w:val="top"/>
          </w:tcPr>
          <w:p>
            <w:pPr>
              <w:spacing w:after="0" w:line="240" w:lineRule="auto"/>
            </w:pPr>
            <w:r>
              <w:rPr>
                <w:rFonts w:ascii="Cambria" w:hAnsi="Cambria"/>
                <w:b w:val="0"/>
                <w:i w:val="0"/>
                <w:color w:val="000000"/>
                <w:sz w:val="18"/>
              </w:rPr>
              <w:t>Document Owner</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8"/>
              </w:rPr>
              <w:t>[DOCUMENT OWNER]</w:t>
            </w:r>
          </w:p>
        </w:tc>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Mar>
              <w:top w:w="70" w:type="dxa"/>
              <w:left w:w="80" w:type="dxa"/>
              <w:bottom w:w="70" w:type="dxa"/>
              <w:right w:w="80" w:type="dxa"/>
            </w:tcMar>
            <w:vAlign w:val="top"/>
          </w:tcPr>
          <w:p>
            <w:pPr>
              <w:spacing w:after="0" w:line="240" w:lineRule="auto"/>
            </w:pPr>
            <w:r>
              <w:rPr>
                <w:rFonts w:ascii="Cambria" w:hAnsi="Cambria"/>
                <w:b w:val="0"/>
                <w:i w:val="0"/>
                <w:color w:val="000000"/>
                <w:sz w:val="18"/>
              </w:rPr>
              <w:t>Approver</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8"/>
              </w:rPr>
              <w:t>[APPROVER]</w:t>
            </w:r>
          </w:p>
        </w:tc>
      </w:tr>
      <w:tr>
        <w:trPr>
          <w:cantSplit/>
        </w:trPr>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EAF3F8" w:val="clear"/>
            <w:tcMar>
              <w:top w:w="70" w:type="dxa"/>
              <w:left w:w="80" w:type="dxa"/>
              <w:bottom w:w="70" w:type="dxa"/>
              <w:right w:w="80" w:type="dxa"/>
            </w:tcMar>
            <w:vAlign w:val="top"/>
          </w:tcPr>
          <w:p>
            <w:pPr>
              <w:spacing w:after="0" w:line="240" w:lineRule="auto"/>
            </w:pPr>
            <w:r>
              <w:rPr>
                <w:rFonts w:ascii="Cambria" w:hAnsi="Cambria"/>
                <w:b w:val="0"/>
                <w:i w:val="0"/>
                <w:color w:val="000000"/>
                <w:sz w:val="18"/>
              </w:rPr>
              <w:t>Organization</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8"/>
              </w:rPr>
              <w:t>[ORGANIZATION NAME]</w:t>
            </w:r>
          </w:p>
        </w:tc>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EAF3F8" w:val="clear"/>
            <w:tcMar>
              <w:top w:w="70" w:type="dxa"/>
              <w:left w:w="80" w:type="dxa"/>
              <w:bottom w:w="70" w:type="dxa"/>
              <w:right w:w="80" w:type="dxa"/>
            </w:tcMar>
            <w:vAlign w:val="top"/>
          </w:tcPr>
          <w:p>
            <w:pPr>
              <w:spacing w:after="0" w:line="240" w:lineRule="auto"/>
            </w:pPr>
            <w:r>
              <w:rPr>
                <w:rFonts w:ascii="Cambria" w:hAnsi="Cambria"/>
                <w:b w:val="0"/>
                <w:i w:val="0"/>
                <w:color w:val="000000"/>
                <w:sz w:val="18"/>
              </w:rPr>
              <w:t>Review Cycle</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8"/>
              </w:rPr>
              <w:t>[ANNUAL / UPON CHANGE]</w:t>
            </w:r>
          </w:p>
        </w:tc>
      </w:tr>
      <w:tr>
        <w:trPr>
          <w:cantSplit/>
        </w:trPr>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Mar>
              <w:top w:w="70" w:type="dxa"/>
              <w:left w:w="80" w:type="dxa"/>
              <w:bottom w:w="70" w:type="dxa"/>
              <w:right w:w="80" w:type="dxa"/>
            </w:tcMar>
            <w:vAlign w:val="top"/>
          </w:tcPr>
          <w:p>
            <w:pPr>
              <w:spacing w:after="0" w:line="240" w:lineRule="auto"/>
            </w:pPr>
            <w:r>
              <w:rPr>
                <w:rFonts w:ascii="Cambria" w:hAnsi="Cambria"/>
                <w:b w:val="0"/>
                <w:i w:val="0"/>
                <w:color w:val="000000"/>
                <w:sz w:val="18"/>
              </w:rPr>
              <w:t>Website</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8"/>
              </w:rPr>
              <w:t>www.iso-toolkits.org</w:t>
            </w:r>
          </w:p>
        </w:tc>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Mar>
              <w:top w:w="70" w:type="dxa"/>
              <w:left w:w="80" w:type="dxa"/>
              <w:bottom w:w="70" w:type="dxa"/>
              <w:right w:w="80" w:type="dxa"/>
            </w:tcMar>
            <w:vAlign w:val="top"/>
          </w:tcPr>
          <w:p>
            <w:pPr>
              <w:spacing w:after="0" w:line="240" w:lineRule="auto"/>
            </w:pPr>
            <w:r>
              <w:rPr>
                <w:rFonts w:ascii="Cambria" w:hAnsi="Cambria"/>
                <w:b w:val="0"/>
                <w:i w:val="0"/>
                <w:color w:val="000000"/>
                <w:sz w:val="18"/>
              </w:rPr>
              <w:t>Email</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8"/>
              </w:rPr>
              <w:t>info@iso-toolkits.org</w:t>
            </w:r>
          </w:p>
        </w:tc>
      </w:tr>
    </w:tbl>
    <w:p/>
    <w:tbl>
      <w:tblPr>
        <w:tblW w:type="auto" w:w="0"/>
        <w:jc w:val="center"/>
        <w:tblLook w:val="04A0"/>
      </w:tblPr>
      <w:tblGrid>
        <w:gridCol w:w="9355"/>
      </w:tblGrid>
      <w:tr>
        <w:trPr>
          <w:cantSplit/>
        </w:trPr>
        <w:tc>
          <w:tcPr>
            <w:tcW w:type="dxa" w:w="9355"/>
            <w:tcBorders>
              <w:top w:val="single" w:sz="4" w:space="0" w:color="D6B656"/>
              <w:left w:val="single" w:sz="4" w:space="0" w:color="D6B656"/>
              <w:bottom w:val="single" w:sz="4" w:space="0" w:color="D6B656"/>
              <w:right w:val="single" w:sz="4" w:space="0" w:color="D6B656"/>
              <w:insideH w:val="single" w:sz="4" w:space="0" w:color="D6B656"/>
              <w:insideV w:val="single" w:sz="4" w:space="0" w:color="D6B656"/>
            </w:tcBorders>
            <w:shd w:fill="FFF2CC" w:val="clear"/>
            <w:tcMar>
              <w:top w:w="80" w:type="dxa"/>
              <w:left w:w="110" w:type="dxa"/>
              <w:bottom w:w="80" w:type="dxa"/>
              <w:right w:w="110" w:type="dxa"/>
            </w:tcMar>
          </w:tcPr>
          <w:p>
            <w:pPr>
              <w:spacing w:after="0"/>
            </w:pPr>
            <w:r>
              <w:rPr>
                <w:rFonts w:ascii="Cambria" w:hAnsi="Cambria"/>
                <w:b w:val="0"/>
                <w:i/>
                <w:color w:val="C00000"/>
                <w:sz w:val="18"/>
              </w:rPr>
              <w:t>[Note] Replace organization-specific placeholders and confirm applicable statutory, regulatory, accreditation and payer requirements before controlled release.</w:t>
            </w:r>
          </w:p>
        </w:tc>
      </w:tr>
    </w:tbl>
    <w:p>
      <w:pPr>
        <w:spacing w:after="20"/>
      </w:pPr>
    </w:p>
    <w:p>
      <w:r>
        <w:br w:type="page"/>
      </w:r>
    </w:p>
    <w:p>
      <w:pPr>
        <w:pStyle w:val="Heading1"/>
        <w:spacing w:before="140" w:after="80"/>
        <w:keepNext/>
      </w:pPr>
      <w:r>
        <w:t>1. Purpose</w:t>
      </w:r>
    </w:p>
    <w:p>
      <w:pPr>
        <w:spacing w:after="80" w:line="259" w:lineRule="auto"/>
      </w:pPr>
      <w:r>
        <w:rPr>
          <w:rFonts w:ascii="Cambria" w:hAnsi="Cambria"/>
          <w:b w:val="0"/>
          <w:i w:val="0"/>
          <w:color w:val="000000"/>
          <w:sz w:val="21"/>
        </w:rPr>
        <w:t>This guidance helps medical laboratories develop a concise quality policy, convert policy commitments into measurable quality objectives and define practical indicators that support patient safety, technical competence, service reliability and continual improvement.</w:t>
      </w:r>
    </w:p>
    <w:p>
      <w:pPr>
        <w:pStyle w:val="Heading1"/>
        <w:spacing w:before="140" w:after="80"/>
        <w:keepNext/>
      </w:pPr>
      <w:r>
        <w:t>2. Quality Policy Design</w:t>
      </w:r>
    </w:p>
    <w:p>
      <w:pPr>
        <w:spacing w:after="80" w:line="259" w:lineRule="auto"/>
      </w:pPr>
      <w:r>
        <w:rPr>
          <w:rFonts w:ascii="Cambria" w:hAnsi="Cambria"/>
          <w:b w:val="0"/>
          <w:i w:val="0"/>
          <w:color w:val="000000"/>
          <w:sz w:val="21"/>
        </w:rPr>
        <w:t>A useful laboratory quality policy should be brief enough to communicate, specific enough to guide decisions and broad enough to remain stable between normal document reviews. It should reflect the actual laboratory service rather than restating the wording of the standard.</w:t>
      </w:r>
    </w:p>
    <w:p>
      <w:pPr>
        <w:pStyle w:val="Heading2"/>
        <w:spacing w:before="80" w:after="80"/>
        <w:keepNext/>
      </w:pPr>
      <w:r>
        <w:t>2.1 Recommended policy themes</w:t>
      </w:r>
    </w:p>
    <w:p>
      <w:pPr>
        <w:pStyle w:val="ListBullet"/>
        <w:spacing w:after="40"/>
        <w:ind w:left="283" w:hanging="142"/>
      </w:pPr>
      <w:r>
        <w:rPr>
          <w:rFonts w:ascii="Cambria" w:hAnsi="Cambria"/>
          <w:b w:val="0"/>
          <w:i w:val="0"/>
          <w:color w:val="000000"/>
          <w:sz w:val="20"/>
        </w:rPr>
        <w:t>Commitment to reliable, timely and clinically useful laboratory services.</w:t>
      </w:r>
    </w:p>
    <w:p>
      <w:pPr>
        <w:pStyle w:val="ListBullet"/>
        <w:spacing w:after="40"/>
        <w:ind w:left="283" w:hanging="142"/>
      </w:pPr>
      <w:r>
        <w:rPr>
          <w:rFonts w:ascii="Cambria" w:hAnsi="Cambria"/>
          <w:b w:val="0"/>
          <w:i w:val="0"/>
          <w:color w:val="000000"/>
          <w:sz w:val="20"/>
        </w:rPr>
        <w:t>Commitment to competent personnel and fit-for-purpose technical processes.</w:t>
      </w:r>
    </w:p>
    <w:p>
      <w:pPr>
        <w:pStyle w:val="ListBullet"/>
        <w:spacing w:after="40"/>
        <w:ind w:left="283" w:hanging="142"/>
      </w:pPr>
      <w:r>
        <w:rPr>
          <w:rFonts w:ascii="Cambria" w:hAnsi="Cambria"/>
          <w:b w:val="0"/>
          <w:i w:val="0"/>
          <w:color w:val="000000"/>
          <w:sz w:val="20"/>
        </w:rPr>
        <w:t>Commitment to impartiality, confidentiality and ethical professional practice.</w:t>
      </w:r>
    </w:p>
    <w:p>
      <w:pPr>
        <w:pStyle w:val="ListBullet"/>
        <w:spacing w:after="40"/>
        <w:ind w:left="283" w:hanging="142"/>
      </w:pPr>
      <w:r>
        <w:rPr>
          <w:rFonts w:ascii="Cambria" w:hAnsi="Cambria"/>
          <w:b w:val="0"/>
          <w:i w:val="0"/>
          <w:color w:val="000000"/>
          <w:sz w:val="20"/>
        </w:rPr>
        <w:t>Commitment to applicable legal, regulatory, accreditation, contractual and professional requirements.</w:t>
      </w:r>
    </w:p>
    <w:p>
      <w:pPr>
        <w:pStyle w:val="ListBullet"/>
        <w:spacing w:after="40"/>
        <w:ind w:left="283" w:hanging="142"/>
      </w:pPr>
      <w:r>
        <w:rPr>
          <w:rFonts w:ascii="Cambria" w:hAnsi="Cambria"/>
          <w:b w:val="0"/>
          <w:i w:val="0"/>
          <w:color w:val="000000"/>
          <w:sz w:val="20"/>
        </w:rPr>
        <w:t>Commitment to managing risks and learning from errors, complaints and performance data.</w:t>
      </w:r>
    </w:p>
    <w:p>
      <w:pPr>
        <w:pStyle w:val="ListBullet"/>
        <w:spacing w:after="40"/>
        <w:ind w:left="283" w:hanging="142"/>
      </w:pPr>
      <w:r>
        <w:rPr>
          <w:rFonts w:ascii="Cambria" w:hAnsi="Cambria"/>
          <w:b w:val="0"/>
          <w:i w:val="0"/>
          <w:color w:val="000000"/>
          <w:sz w:val="20"/>
        </w:rPr>
        <w:t>Commitment to continual improvement of both service quality and the LQMS.</w:t>
      </w:r>
    </w:p>
    <w:p>
      <w:pPr>
        <w:pStyle w:val="Heading2"/>
        <w:spacing w:before="80" w:after="80"/>
        <w:keepNext/>
      </w:pPr>
      <w:r>
        <w:t>2.2 Editable model policy</w:t>
      </w:r>
    </w:p>
    <w:tbl>
      <w:tblPr>
        <w:tblW w:type="auto" w:w="0"/>
        <w:jc w:val="center"/>
        <w:tblLook w:val="04A0"/>
      </w:tblPr>
      <w:tblGrid>
        <w:gridCol w:w="9355"/>
      </w:tblGrid>
      <w:tr>
        <w:trPr>
          <w:cantSplit/>
        </w:trPr>
        <w:tc>
          <w:tcPr>
            <w:tcW w:type="dxa" w:w="9355"/>
            <w:tcBorders>
              <w:top w:val="single" w:sz="4" w:space="0" w:color="D6B656"/>
              <w:left w:val="single" w:sz="4" w:space="0" w:color="D6B656"/>
              <w:bottom w:val="single" w:sz="4" w:space="0" w:color="D6B656"/>
              <w:right w:val="single" w:sz="4" w:space="0" w:color="D6B656"/>
              <w:insideH w:val="single" w:sz="4" w:space="0" w:color="D6B656"/>
              <w:insideV w:val="single" w:sz="4" w:space="0" w:color="D6B656"/>
            </w:tcBorders>
            <w:shd w:fill="FFF2CC" w:val="clear"/>
            <w:tcMar>
              <w:top w:w="80" w:type="dxa"/>
              <w:left w:w="110" w:type="dxa"/>
              <w:bottom w:w="80" w:type="dxa"/>
              <w:right w:w="110" w:type="dxa"/>
            </w:tcMar>
          </w:tcPr>
          <w:p>
            <w:pPr>
              <w:spacing w:after="0"/>
            </w:pPr>
            <w:r>
              <w:rPr>
                <w:rFonts w:ascii="Cambria" w:hAnsi="Cambria"/>
                <w:b w:val="0"/>
                <w:i/>
                <w:color w:val="C00000"/>
                <w:sz w:val="18"/>
              </w:rPr>
              <w:t>[Note] The following wording is a template and should be adapted to the laboratory’s actual mission, patients, users, disciplines and regulatory environment.</w:t>
            </w:r>
          </w:p>
        </w:tc>
      </w:tr>
    </w:tbl>
    <w:p>
      <w:pPr>
        <w:spacing w:after="20"/>
      </w:pPr>
    </w:p>
    <w:p>
      <w:r>
        <w:rPr>
          <w:rFonts w:ascii="Cambria" w:hAnsi="Cambria"/>
          <w:b w:val="0"/>
          <w:i/>
          <w:color w:val="1F4E79"/>
          <w:sz w:val="21"/>
        </w:rPr>
        <w:t>“[LABORATORY NAME] is committed to providing accurate, timely and clinically appropriate laboratory services through competent personnel, controlled examination processes and reliable information. We protect patient interests, impartiality and confidentiality; meet applicable requirements; manage risks that can affect quality or patient care; and use performance data, feedback and learning to continually improve our services and management system.”</w:t>
      </w:r>
    </w:p>
    <w:p>
      <w:pPr>
        <w:pStyle w:val="Heading1"/>
        <w:spacing w:before="140" w:after="80"/>
        <w:keepNext/>
      </w:pPr>
      <w:r>
        <w:t>3. Setting Quality Objectives</w:t>
      </w:r>
    </w:p>
    <w:p>
      <w:pPr>
        <w:spacing w:after="80" w:line="259" w:lineRule="auto"/>
      </w:pPr>
      <w:r>
        <w:rPr>
          <w:rFonts w:ascii="Cambria" w:hAnsi="Cambria"/>
          <w:b w:val="0"/>
          <w:i w:val="0"/>
          <w:color w:val="000000"/>
          <w:sz w:val="21"/>
        </w:rPr>
        <w:t>Quality objectives should convert policy commitments and priority risks into results that can be managed. The number of objectives should remain small enough for leadership and process owners to actively review them.</w:t>
      </w:r>
    </w:p>
    <w:tbl>
      <w:tblPr>
        <w:tblStyle w:val="TableGrid"/>
        <w:tblW w:type="auto" w:w="0"/>
        <w:jc w:val="center"/>
        <w:tblLook w:val="04A0"/>
      </w:tblPr>
      <w:tblGrid>
        <w:gridCol w:w="4677"/>
        <w:gridCol w:w="4677"/>
      </w:tblGrid>
      <w:tr>
        <w:trPr>
          <w:tblHeader w:val="true"/>
          <w:cantSplit/>
        </w:trPr>
        <w:tc>
          <w:tcPr>
            <w:tcW w:type="dxa" w:w="2835"/>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7"/>
              </w:rPr>
              <w:t>Objective design test</w:t>
            </w:r>
          </w:p>
        </w:tc>
        <w:tc>
          <w:tcPr>
            <w:tcW w:type="dxa" w:w="7654"/>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7"/>
              </w:rPr>
              <w:t>Practical question</w:t>
            </w:r>
          </w:p>
        </w:tc>
      </w:tr>
      <w:tr>
        <w:trPr>
          <w:cantSplit/>
        </w:trPr>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Relevant</w:t>
            </w:r>
          </w:p>
        </w:tc>
        <w:tc>
          <w:tcPr>
            <w:tcW w:type="dxa" w:w="765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Does the objective address a material patient, service, competence or quality-system need?</w:t>
            </w:r>
          </w:p>
        </w:tc>
      </w:tr>
      <w:tr>
        <w:trPr>
          <w:cantSplit/>
        </w:trPr>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Measurable</w:t>
            </w:r>
          </w:p>
        </w:tc>
        <w:tc>
          <w:tcPr>
            <w:tcW w:type="dxa" w:w="765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Is there a defined indicator, calculation, source and review frequency?</w:t>
            </w:r>
          </w:p>
        </w:tc>
      </w:tr>
      <w:tr>
        <w:trPr>
          <w:cantSplit/>
        </w:trPr>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Owned</w:t>
            </w:r>
          </w:p>
        </w:tc>
        <w:tc>
          <w:tcPr>
            <w:tcW w:type="dxa" w:w="765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Is one accountable role responsible for progress and escalation?</w:t>
            </w:r>
          </w:p>
        </w:tc>
      </w:tr>
      <w:tr>
        <w:trPr>
          <w:cantSplit/>
        </w:trPr>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Time-bound</w:t>
            </w:r>
          </w:p>
        </w:tc>
        <w:tc>
          <w:tcPr>
            <w:tcW w:type="dxa" w:w="765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Is there a review or target date?</w:t>
            </w:r>
          </w:p>
        </w:tc>
      </w:tr>
      <w:tr>
        <w:trPr>
          <w:cantSplit/>
        </w:trPr>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Actionable</w:t>
            </w:r>
          </w:p>
        </w:tc>
        <w:tc>
          <w:tcPr>
            <w:tcW w:type="dxa" w:w="765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Can the laboratory identify interventions if performance is off target?</w:t>
            </w:r>
          </w:p>
        </w:tc>
      </w:tr>
      <w:tr>
        <w:trPr>
          <w:cantSplit/>
        </w:trPr>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Verifiable</w:t>
            </w:r>
          </w:p>
        </w:tc>
        <w:tc>
          <w:tcPr>
            <w:tcW w:type="dxa" w:w="765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Can objective achievement be supported by controlled data or evidence?</w:t>
            </w:r>
          </w:p>
        </w:tc>
      </w:tr>
    </w:tbl>
    <w:p>
      <w:pPr>
        <w:spacing w:after="40"/>
      </w:pPr>
    </w:p>
    <w:p>
      <w:pPr>
        <w:pStyle w:val="Heading1"/>
        <w:spacing w:before="140" w:after="80"/>
        <w:keepNext/>
      </w:pPr>
      <w:r>
        <w:t>4. Indicator Design</w:t>
      </w:r>
    </w:p>
    <w:p>
      <w:pPr>
        <w:spacing w:after="80" w:line="259" w:lineRule="auto"/>
      </w:pPr>
      <w:r>
        <w:rPr>
          <w:rFonts w:ascii="Cambria" w:hAnsi="Cambria"/>
          <w:b w:val="0"/>
          <w:i w:val="0"/>
          <w:color w:val="000000"/>
          <w:sz w:val="21"/>
        </w:rPr>
        <w:t>An indicator is useful only when its definition is stable enough to support comparison and its result can trigger a decision. Each indicator should have a name, purpose, numerator/denominator or calculation method, data source, owner, frequency, target or decision rule, exclusions and escalation logic.</w:t>
      </w:r>
    </w:p>
    <w:tbl>
      <w:tblPr>
        <w:tblStyle w:val="TableGrid"/>
        <w:tblW w:type="auto" w:w="0"/>
        <w:jc w:val="center"/>
        <w:tblLook w:val="04A0"/>
      </w:tblPr>
      <w:tblGrid>
        <w:gridCol w:w="4677"/>
        <w:gridCol w:w="4677"/>
      </w:tblGrid>
      <w:tr>
        <w:trPr>
          <w:tblHeader w:val="true"/>
          <w:cantSplit/>
        </w:trPr>
        <w:tc>
          <w:tcPr>
            <w:tcW w:type="dxa" w:w="2835"/>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7"/>
              </w:rPr>
              <w:t>Indicator field</w:t>
            </w:r>
          </w:p>
        </w:tc>
        <w:tc>
          <w:tcPr>
            <w:tcW w:type="dxa" w:w="7654"/>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7"/>
              </w:rPr>
              <w:t>Guidance</w:t>
            </w:r>
          </w:p>
        </w:tc>
      </w:tr>
      <w:tr>
        <w:trPr>
          <w:cantSplit/>
        </w:trPr>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Name</w:t>
            </w:r>
          </w:p>
        </w:tc>
        <w:tc>
          <w:tcPr>
            <w:tcW w:type="dxa" w:w="765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Use a short unambiguous title.</w:t>
            </w:r>
          </w:p>
        </w:tc>
      </w:tr>
      <w:tr>
        <w:trPr>
          <w:cantSplit/>
        </w:trPr>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Purpose</w:t>
            </w:r>
          </w:p>
        </w:tc>
        <w:tc>
          <w:tcPr>
            <w:tcW w:type="dxa" w:w="765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State the quality or risk question the indicator answers.</w:t>
            </w:r>
          </w:p>
        </w:tc>
      </w:tr>
      <w:tr>
        <w:trPr>
          <w:cantSplit/>
        </w:trPr>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Calculation</w:t>
            </w:r>
          </w:p>
        </w:tc>
        <w:tc>
          <w:tcPr>
            <w:tcW w:type="dxa" w:w="765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Define numerator, denominator, units, exclusions and rounding.</w:t>
            </w:r>
          </w:p>
        </w:tc>
      </w:tr>
      <w:tr>
        <w:trPr>
          <w:cantSplit/>
        </w:trPr>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Data source</w:t>
            </w:r>
          </w:p>
        </w:tc>
        <w:tc>
          <w:tcPr>
            <w:tcW w:type="dxa" w:w="765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Identify the controlled system, log or dataset.</w:t>
            </w:r>
          </w:p>
        </w:tc>
      </w:tr>
      <w:tr>
        <w:trPr>
          <w:cantSplit/>
        </w:trPr>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Frequency</w:t>
            </w:r>
          </w:p>
        </w:tc>
        <w:tc>
          <w:tcPr>
            <w:tcW w:type="dxa" w:w="765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Match review frequency to process risk and data volume.</w:t>
            </w:r>
          </w:p>
        </w:tc>
      </w:tr>
      <w:tr>
        <w:trPr>
          <w:cantSplit/>
        </w:trPr>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Target / limit</w:t>
            </w:r>
          </w:p>
        </w:tc>
        <w:tc>
          <w:tcPr>
            <w:tcW w:type="dxa" w:w="765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Use a defensible internal, regulatory, contractual or evidence-based threshold.</w:t>
            </w:r>
          </w:p>
        </w:tc>
      </w:tr>
      <w:tr>
        <w:trPr>
          <w:cantSplit/>
        </w:trPr>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Owner</w:t>
            </w:r>
          </w:p>
        </w:tc>
        <w:tc>
          <w:tcPr>
            <w:tcW w:type="dxa" w:w="765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Assign the role responsible for review and action.</w:t>
            </w:r>
          </w:p>
        </w:tc>
      </w:tr>
      <w:tr>
        <w:trPr>
          <w:cantSplit/>
        </w:trPr>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Escalation</w:t>
            </w:r>
          </w:p>
        </w:tc>
        <w:tc>
          <w:tcPr>
            <w:tcW w:type="dxa" w:w="7654"/>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Define what happens when results deteriorate or breach limits.</w:t>
            </w:r>
          </w:p>
        </w:tc>
      </w:tr>
    </w:tbl>
    <w:p>
      <w:pPr>
        <w:spacing w:after="40"/>
      </w:pPr>
    </w:p>
    <w:p>
      <w:pPr>
        <w:pStyle w:val="Heading1"/>
        <w:spacing w:before="140" w:after="80"/>
        <w:keepNext/>
      </w:pPr>
      <w:r>
        <w:t>5. Illustrative Objectives and Indicators</w:t>
      </w:r>
    </w:p>
    <w:tbl>
      <w:tblPr>
        <w:tblW w:type="auto" w:w="0"/>
        <w:jc w:val="center"/>
        <w:tblLook w:val="04A0"/>
      </w:tblPr>
      <w:tblGrid>
        <w:gridCol w:w="9355"/>
      </w:tblGrid>
      <w:tr>
        <w:trPr>
          <w:cantSplit/>
        </w:trPr>
        <w:tc>
          <w:tcPr>
            <w:tcW w:type="dxa" w:w="9355"/>
            <w:tcBorders>
              <w:top w:val="single" w:sz="4" w:space="0" w:color="D6B656"/>
              <w:left w:val="single" w:sz="4" w:space="0" w:color="D6B656"/>
              <w:bottom w:val="single" w:sz="4" w:space="0" w:color="D6B656"/>
              <w:right w:val="single" w:sz="4" w:space="0" w:color="D6B656"/>
              <w:insideH w:val="single" w:sz="4" w:space="0" w:color="D6B656"/>
              <w:insideV w:val="single" w:sz="4" w:space="0" w:color="D6B656"/>
            </w:tcBorders>
            <w:shd w:fill="FFF2CC" w:val="clear"/>
            <w:tcMar>
              <w:top w:w="80" w:type="dxa"/>
              <w:left w:w="110" w:type="dxa"/>
              <w:bottom w:w="80" w:type="dxa"/>
              <w:right w:w="110" w:type="dxa"/>
            </w:tcMar>
          </w:tcPr>
          <w:p>
            <w:pPr>
              <w:spacing w:after="0"/>
            </w:pPr>
            <w:r>
              <w:rPr>
                <w:rFonts w:ascii="Cambria" w:hAnsi="Cambria"/>
                <w:b w:val="0"/>
                <w:i/>
                <w:color w:val="C00000"/>
                <w:sz w:val="18"/>
              </w:rPr>
              <w:t>[Note] These examples are Illustrative Data only. Targets should not be copied without considering local baseline performance, clinical risk, regulatory requirements and service agreements.</w:t>
            </w:r>
          </w:p>
        </w:tc>
      </w:tr>
    </w:tbl>
    <w:p>
      <w:pPr>
        <w:spacing w:after="20"/>
      </w:pPr>
    </w:p>
    <w:tbl>
      <w:tblPr>
        <w:tblStyle w:val="TableGrid"/>
        <w:tblW w:type="auto" w:w="0"/>
        <w:jc w:val="center"/>
        <w:tblLook w:val="04A0"/>
      </w:tblPr>
      <w:tblGrid>
        <w:gridCol w:w="2339"/>
        <w:gridCol w:w="2339"/>
        <w:gridCol w:w="2339"/>
        <w:gridCol w:w="2339"/>
      </w:tblGrid>
      <w:tr>
        <w:trPr>
          <w:tblHeader w:val="true"/>
          <w:cantSplit/>
        </w:trPr>
        <w:tc>
          <w:tcPr>
            <w:tcW w:type="dxa" w:w="2608"/>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5"/>
              </w:rPr>
              <w:t>Objective</w:t>
            </w:r>
          </w:p>
        </w:tc>
        <w:tc>
          <w:tcPr>
            <w:tcW w:type="dxa" w:w="2835"/>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5"/>
              </w:rPr>
              <w:t>Illustrative indicator</w:t>
            </w:r>
          </w:p>
        </w:tc>
        <w:tc>
          <w:tcPr>
            <w:tcW w:type="dxa" w:w="4649"/>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5"/>
              </w:rPr>
              <w:t>Example calculation / review logic</w:t>
            </w:r>
          </w:p>
        </w:tc>
        <w:tc>
          <w:tcPr>
            <w:tcW w:type="dxa" w:w="2098"/>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5"/>
              </w:rPr>
              <w:t>Potential owner</w:t>
            </w:r>
          </w:p>
        </w:tc>
      </w:tr>
      <w:tr>
        <w:trPr>
          <w:cantSplit/>
        </w:trPr>
        <w:tc>
          <w:tcPr>
            <w:tcW w:type="dxa" w:w="260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5"/>
              </w:rPr>
              <w:t>Improve specimen quality</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5"/>
              </w:rPr>
              <w:t>Specimen rejection rate</w:t>
            </w:r>
          </w:p>
        </w:tc>
        <w:tc>
          <w:tcPr>
            <w:tcW w:type="dxa" w:w="464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5"/>
              </w:rPr>
              <w:t>Rejected specimens ÷ total received × 100; trend by rejection reason and source.</w:t>
            </w:r>
          </w:p>
        </w:tc>
        <w:tc>
          <w:tcPr>
            <w:tcW w:type="dxa" w:w="209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5"/>
              </w:rPr>
              <w:t>Pre-examination Lead</w:t>
            </w:r>
          </w:p>
        </w:tc>
      </w:tr>
      <w:tr>
        <w:trPr>
          <w:cantSplit/>
        </w:trPr>
        <w:tc>
          <w:tcPr>
            <w:tcW w:type="dxa" w:w="260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5"/>
              </w:rPr>
              <w:t>Improve reporting timeliness</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5"/>
              </w:rPr>
              <w:t>Turnaround time compliance</w:t>
            </w:r>
          </w:p>
        </w:tc>
        <w:tc>
          <w:tcPr>
            <w:tcW w:type="dxa" w:w="464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5"/>
              </w:rPr>
              <w:t>Reports released within defined TAT ÷ eligible examinations × 100.</w:t>
            </w:r>
          </w:p>
        </w:tc>
        <w:tc>
          <w:tcPr>
            <w:tcW w:type="dxa" w:w="209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5"/>
              </w:rPr>
              <w:t>Section Head</w:t>
            </w:r>
          </w:p>
        </w:tc>
      </w:tr>
      <w:tr>
        <w:trPr>
          <w:cantSplit/>
        </w:trPr>
        <w:tc>
          <w:tcPr>
            <w:tcW w:type="dxa" w:w="260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5"/>
              </w:rPr>
              <w:t>Strengthen urgent communication</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5"/>
              </w:rPr>
              <w:t>Critical result communication compliance</w:t>
            </w:r>
          </w:p>
        </w:tc>
        <w:tc>
          <w:tcPr>
            <w:tcW w:type="dxa" w:w="464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5"/>
              </w:rPr>
              <w:t>Critical results communicated within defined time and acknowledged ÷ total critical results × 100.</w:t>
            </w:r>
          </w:p>
        </w:tc>
        <w:tc>
          <w:tcPr>
            <w:tcW w:type="dxa" w:w="209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5"/>
              </w:rPr>
              <w:t>Technical Manager</w:t>
            </w:r>
          </w:p>
        </w:tc>
      </w:tr>
      <w:tr>
        <w:trPr>
          <w:cantSplit/>
        </w:trPr>
        <w:tc>
          <w:tcPr>
            <w:tcW w:type="dxa" w:w="260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5"/>
              </w:rPr>
              <w:t>Sustain analytical quality</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5"/>
              </w:rPr>
              <w:t>EQA/PT satisfactory performance</w:t>
            </w:r>
          </w:p>
        </w:tc>
        <w:tc>
          <w:tcPr>
            <w:tcW w:type="dxa" w:w="464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5"/>
              </w:rPr>
              <w:t>Satisfactory challenges or rounds ÷ total evaluated; investigate all unsatisfactory results.</w:t>
            </w:r>
          </w:p>
        </w:tc>
        <w:tc>
          <w:tcPr>
            <w:tcW w:type="dxa" w:w="209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5"/>
              </w:rPr>
              <w:t>Quality Manager / Section Head</w:t>
            </w:r>
          </w:p>
        </w:tc>
      </w:tr>
      <w:tr>
        <w:trPr>
          <w:cantSplit/>
        </w:trPr>
        <w:tc>
          <w:tcPr>
            <w:tcW w:type="dxa" w:w="260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5"/>
              </w:rPr>
              <w:t>Improve corrective-action effectiveness</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5"/>
              </w:rPr>
              <w:t>CAPA effectiveness verification rate</w:t>
            </w:r>
          </w:p>
        </w:tc>
        <w:tc>
          <w:tcPr>
            <w:tcW w:type="dxa" w:w="464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5"/>
              </w:rPr>
              <w:t>Corrective actions with documented effectiveness verification ÷ corrective actions due for effectiveness review × 100.</w:t>
            </w:r>
          </w:p>
        </w:tc>
        <w:tc>
          <w:tcPr>
            <w:tcW w:type="dxa" w:w="209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5"/>
              </w:rPr>
              <w:t>Quality Manager</w:t>
            </w:r>
          </w:p>
        </w:tc>
      </w:tr>
      <w:tr>
        <w:trPr>
          <w:cantSplit/>
        </w:trPr>
        <w:tc>
          <w:tcPr>
            <w:tcW w:type="dxa" w:w="260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5"/>
              </w:rPr>
              <w:t>Strengthen staff competence</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5"/>
              </w:rPr>
              <w:t>Authorization currency</w:t>
            </w:r>
          </w:p>
        </w:tc>
        <w:tc>
          <w:tcPr>
            <w:tcW w:type="dxa" w:w="464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5"/>
              </w:rPr>
              <w:t>Authorized staff with current required competence evidence ÷ staff performing controlled activities × 100.</w:t>
            </w:r>
          </w:p>
        </w:tc>
        <w:tc>
          <w:tcPr>
            <w:tcW w:type="dxa" w:w="209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5"/>
              </w:rPr>
              <w:t>Section Head / HR</w:t>
            </w:r>
          </w:p>
        </w:tc>
      </w:tr>
      <w:tr>
        <w:trPr>
          <w:cantSplit/>
        </w:trPr>
        <w:tc>
          <w:tcPr>
            <w:tcW w:type="dxa" w:w="260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5"/>
              </w:rPr>
              <w:t>Improve complaint response</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5"/>
              </w:rPr>
              <w:t>Complaint closure timeliness</w:t>
            </w:r>
          </w:p>
        </w:tc>
        <w:tc>
          <w:tcPr>
            <w:tcW w:type="dxa" w:w="464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5"/>
              </w:rPr>
              <w:t>Complaints closed within defined service standard ÷ total closed complaints × 100.</w:t>
            </w:r>
          </w:p>
        </w:tc>
        <w:tc>
          <w:tcPr>
            <w:tcW w:type="dxa" w:w="209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5"/>
              </w:rPr>
              <w:t>Quality Manager</w:t>
            </w:r>
          </w:p>
        </w:tc>
      </w:tr>
      <w:tr>
        <w:trPr>
          <w:cantSplit/>
        </w:trPr>
        <w:tc>
          <w:tcPr>
            <w:tcW w:type="dxa" w:w="260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5"/>
              </w:rPr>
              <w:t>Improve service continuity</w:t>
            </w:r>
          </w:p>
        </w:tc>
        <w:tc>
          <w:tcPr>
            <w:tcW w:type="dxa" w:w="283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5"/>
              </w:rPr>
              <w:t>Critical downtime recovery</w:t>
            </w:r>
          </w:p>
        </w:tc>
        <w:tc>
          <w:tcPr>
            <w:tcW w:type="dxa" w:w="464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5"/>
              </w:rPr>
              <w:t>Number/duration of unplanned disruptions with recovery within approved continuity objective.</w:t>
            </w:r>
          </w:p>
        </w:tc>
        <w:tc>
          <w:tcPr>
            <w:tcW w:type="dxa" w:w="209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5"/>
              </w:rPr>
              <w:t>Laboratory Director / IT</w:t>
            </w:r>
          </w:p>
        </w:tc>
      </w:tr>
    </w:tbl>
    <w:p>
      <w:pPr>
        <w:spacing w:after="40"/>
      </w:pPr>
    </w:p>
    <w:p>
      <w:pPr>
        <w:pStyle w:val="Heading1"/>
        <w:spacing w:before="140" w:after="80"/>
        <w:keepNext/>
      </w:pPr>
      <w:r>
        <w:t>6. Objective Cascade</w:t>
      </w:r>
    </w:p>
    <w:p>
      <w:pPr>
        <w:pStyle w:val="ListNumber"/>
        <w:spacing w:after="60"/>
      </w:pPr>
      <w:r>
        <w:rPr>
          <w:rFonts w:ascii="Cambria" w:hAnsi="Cambria"/>
          <w:b w:val="0"/>
          <w:i w:val="0"/>
          <w:color w:val="000000"/>
          <w:sz w:val="20"/>
        </w:rPr>
        <w:t>Start with the quality policy, laboratory strategy, risk register, clinical-user needs and prior performance.</w:t>
      </w:r>
    </w:p>
    <w:p>
      <w:pPr>
        <w:pStyle w:val="ListNumber"/>
        <w:spacing w:after="60"/>
      </w:pPr>
      <w:r>
        <w:rPr>
          <w:rFonts w:ascii="Cambria" w:hAnsi="Cambria"/>
          <w:b w:val="0"/>
          <w:i w:val="0"/>
          <w:color w:val="000000"/>
          <w:sz w:val="20"/>
        </w:rPr>
        <w:t>Select a small set of priority objectives that leadership is willing to resource and review.</w:t>
      </w:r>
    </w:p>
    <w:p>
      <w:pPr>
        <w:pStyle w:val="ListNumber"/>
        <w:spacing w:after="60"/>
      </w:pPr>
      <w:r>
        <w:rPr>
          <w:rFonts w:ascii="Cambria" w:hAnsi="Cambria"/>
          <w:b w:val="0"/>
          <w:i w:val="0"/>
          <w:color w:val="000000"/>
          <w:sz w:val="20"/>
        </w:rPr>
        <w:t>Define one or more indicators for each objective and record calculation rules before data collection begins.</w:t>
      </w:r>
    </w:p>
    <w:p>
      <w:pPr>
        <w:pStyle w:val="ListNumber"/>
        <w:spacing w:after="60"/>
      </w:pPr>
      <w:r>
        <w:rPr>
          <w:rFonts w:ascii="Cambria" w:hAnsi="Cambria"/>
          <w:b w:val="0"/>
          <w:i w:val="0"/>
          <w:color w:val="000000"/>
          <w:sz w:val="20"/>
        </w:rPr>
        <w:t>Establish baseline performance where possible and then set an appropriate target or improvement direction.</w:t>
      </w:r>
    </w:p>
    <w:p>
      <w:pPr>
        <w:pStyle w:val="ListNumber"/>
        <w:spacing w:after="60"/>
      </w:pPr>
      <w:r>
        <w:rPr>
          <w:rFonts w:ascii="Cambria" w:hAnsi="Cambria"/>
          <w:b w:val="0"/>
          <w:i w:val="0"/>
          <w:color w:val="000000"/>
          <w:sz w:val="20"/>
        </w:rPr>
        <w:t>Assign an accountable owner and action plan for objectives that require change rather than passive monitoring.</w:t>
      </w:r>
    </w:p>
    <w:p>
      <w:pPr>
        <w:pStyle w:val="ListNumber"/>
        <w:spacing w:after="60"/>
      </w:pPr>
      <w:r>
        <w:rPr>
          <w:rFonts w:ascii="Cambria" w:hAnsi="Cambria"/>
          <w:b w:val="0"/>
          <w:i w:val="0"/>
          <w:color w:val="000000"/>
          <w:sz w:val="20"/>
        </w:rPr>
        <w:t>Review performance at operational meetings and management review; adjust actions or targets when justified by evidence.</w:t>
      </w:r>
    </w:p>
    <w:p>
      <w:pPr>
        <w:pStyle w:val="Heading1"/>
        <w:spacing w:before="140" w:after="80"/>
        <w:keepNext/>
      </w:pPr>
      <w:r>
        <w:t>7. Data Integrity and Interpretation</w:t>
      </w:r>
    </w:p>
    <w:p>
      <w:pPr>
        <w:pStyle w:val="ListBullet"/>
        <w:spacing w:after="40"/>
        <w:ind w:left="283" w:hanging="142"/>
      </w:pPr>
      <w:r>
        <w:rPr>
          <w:rFonts w:ascii="Cambria" w:hAnsi="Cambria"/>
          <w:b w:val="0"/>
          <w:i w:val="0"/>
          <w:color w:val="000000"/>
          <w:sz w:val="20"/>
        </w:rPr>
        <w:t>Do not change indicator definitions mid-period without documenting the change and its effect on comparability.</w:t>
      </w:r>
    </w:p>
    <w:p>
      <w:pPr>
        <w:pStyle w:val="ListBullet"/>
        <w:spacing w:after="40"/>
        <w:ind w:left="283" w:hanging="142"/>
      </w:pPr>
      <w:r>
        <w:rPr>
          <w:rFonts w:ascii="Cambria" w:hAnsi="Cambria"/>
          <w:b w:val="0"/>
          <w:i w:val="0"/>
          <w:color w:val="000000"/>
          <w:sz w:val="20"/>
        </w:rPr>
        <w:t>Investigate abrupt improvement as well as deterioration; data completeness or coding changes can create artificial performance shifts.</w:t>
      </w:r>
    </w:p>
    <w:p>
      <w:pPr>
        <w:pStyle w:val="ListBullet"/>
        <w:spacing w:after="40"/>
        <w:ind w:left="283" w:hanging="142"/>
      </w:pPr>
      <w:r>
        <w:rPr>
          <w:rFonts w:ascii="Cambria" w:hAnsi="Cambria"/>
          <w:b w:val="0"/>
          <w:i w:val="0"/>
          <w:color w:val="000000"/>
          <w:sz w:val="20"/>
        </w:rPr>
        <w:t>Use rates or normalized measures where volume changes would make raw counts misleading.</w:t>
      </w:r>
    </w:p>
    <w:p>
      <w:pPr>
        <w:pStyle w:val="ListBullet"/>
        <w:spacing w:after="40"/>
        <w:ind w:left="283" w:hanging="142"/>
      </w:pPr>
      <w:r>
        <w:rPr>
          <w:rFonts w:ascii="Cambria" w:hAnsi="Cambria"/>
          <w:b w:val="0"/>
          <w:i w:val="0"/>
          <w:color w:val="000000"/>
          <w:sz w:val="20"/>
        </w:rPr>
        <w:t>Segment data by site, source, discipline, shift, instrument or other factors when the total result can conceal a local problem.</w:t>
      </w:r>
    </w:p>
    <w:p>
      <w:pPr>
        <w:pStyle w:val="ListBullet"/>
        <w:spacing w:after="40"/>
        <w:ind w:left="283" w:hanging="142"/>
      </w:pPr>
      <w:r>
        <w:rPr>
          <w:rFonts w:ascii="Cambria" w:hAnsi="Cambria"/>
          <w:b w:val="0"/>
          <w:i w:val="0"/>
          <w:color w:val="000000"/>
          <w:sz w:val="20"/>
        </w:rPr>
        <w:t>Distinguish process indicators (for example timeliness) from outcome indicators (for example corrected reports or clinical service outcomes).</w:t>
      </w:r>
    </w:p>
    <w:p>
      <w:pPr>
        <w:pStyle w:val="Heading1"/>
        <w:spacing w:before="140" w:after="80"/>
        <w:keepNext/>
      </w:pPr>
      <w:r>
        <w:t>8. Review and Governance</w:t>
      </w:r>
    </w:p>
    <w:tbl>
      <w:tblPr>
        <w:tblStyle w:val="TableGrid"/>
        <w:tblW w:type="auto" w:w="0"/>
        <w:jc w:val="center"/>
        <w:tblLook w:val="04A0"/>
      </w:tblPr>
      <w:tblGrid>
        <w:gridCol w:w="3118"/>
        <w:gridCol w:w="3118"/>
        <w:gridCol w:w="3118"/>
      </w:tblGrid>
      <w:tr>
        <w:trPr>
          <w:tblHeader w:val="true"/>
          <w:cantSplit/>
        </w:trPr>
        <w:tc>
          <w:tcPr>
            <w:tcW w:type="dxa" w:w="3118"/>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7"/>
              </w:rPr>
              <w:t>Review level</w:t>
            </w:r>
          </w:p>
        </w:tc>
        <w:tc>
          <w:tcPr>
            <w:tcW w:type="dxa" w:w="5386"/>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7"/>
              </w:rPr>
              <w:t>Purpose</w:t>
            </w:r>
          </w:p>
        </w:tc>
        <w:tc>
          <w:tcPr>
            <w:tcW w:type="dxa" w:w="2268"/>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7"/>
              </w:rPr>
              <w:t>Typical frequency</w:t>
            </w:r>
          </w:p>
        </w:tc>
      </w:tr>
      <w:tr>
        <w:trPr>
          <w:cantSplit/>
        </w:trPr>
        <w:tc>
          <w:tcPr>
            <w:tcW w:type="dxa" w:w="311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Process owner review</w:t>
            </w:r>
          </w:p>
        </w:tc>
        <w:tc>
          <w:tcPr>
            <w:tcW w:type="dxa" w:w="5386"/>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Identify exceptions and initiate prompt action.</w:t>
            </w:r>
          </w:p>
        </w:tc>
        <w:tc>
          <w:tcPr>
            <w:tcW w:type="dxa" w:w="226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Daily / weekly / monthly depending on risk.</w:t>
            </w:r>
          </w:p>
        </w:tc>
      </w:tr>
      <w:tr>
        <w:trPr>
          <w:cantSplit/>
        </w:trPr>
        <w:tc>
          <w:tcPr>
            <w:tcW w:type="dxa" w:w="311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Quality meeting</w:t>
            </w:r>
          </w:p>
        </w:tc>
        <w:tc>
          <w:tcPr>
            <w:tcW w:type="dxa" w:w="5386"/>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Analyze trends, cross-process issues and improvement actions.</w:t>
            </w:r>
          </w:p>
        </w:tc>
        <w:tc>
          <w:tcPr>
            <w:tcW w:type="dxa" w:w="226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7"/>
              </w:rPr>
              <w:t>Monthly or quarterly.</w:t>
            </w:r>
          </w:p>
        </w:tc>
      </w:tr>
      <w:tr>
        <w:trPr>
          <w:cantSplit/>
        </w:trPr>
        <w:tc>
          <w:tcPr>
            <w:tcW w:type="dxa" w:w="311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Management review</w:t>
            </w:r>
          </w:p>
        </w:tc>
        <w:tc>
          <w:tcPr>
            <w:tcW w:type="dxa" w:w="5386"/>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Evaluate strategic objectives, resources, risks and LQMS effectiveness.</w:t>
            </w:r>
          </w:p>
        </w:tc>
        <w:tc>
          <w:tcPr>
            <w:tcW w:type="dxa" w:w="226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At planned intervals, typically at least annually or more often if needed.</w:t>
            </w:r>
          </w:p>
        </w:tc>
      </w:tr>
    </w:tbl>
    <w:p>
      <w:pPr>
        <w:spacing w:after="40"/>
      </w:pPr>
    </w:p>
    <w:p>
      <w:pPr>
        <w:pStyle w:val="Heading1"/>
        <w:spacing w:before="140" w:after="80"/>
        <w:keepNext/>
      </w:pPr>
      <w:r>
        <w:t>References</w:t>
      </w:r>
    </w:p>
    <w:tbl>
      <w:tblPr>
        <w:tblStyle w:val="TableGrid"/>
        <w:tblW w:type="auto" w:w="0"/>
        <w:jc w:val="center"/>
        <w:tblLook w:val="04A0"/>
      </w:tblPr>
      <w:tblGrid>
        <w:gridCol w:w="3118"/>
        <w:gridCol w:w="3118"/>
        <w:gridCol w:w="3118"/>
      </w:tblGrid>
      <w:tr>
        <w:trPr>
          <w:tblHeader w:val="true"/>
          <w:cantSplit/>
        </w:trPr>
        <w:tc>
          <w:tcPr>
            <w:tcW w:type="dxa" w:w="1928"/>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6"/>
              </w:rPr>
              <w:t>Reference</w:t>
            </w:r>
          </w:p>
        </w:tc>
        <w:tc>
          <w:tcPr>
            <w:tcW w:type="dxa" w:w="5216"/>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6"/>
              </w:rPr>
              <w:t>Title</w:t>
            </w:r>
          </w:p>
        </w:tc>
        <w:tc>
          <w:tcPr>
            <w:tcW w:type="dxa" w:w="3515"/>
            <w:vAlign w:val="center"/>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Pr>
          <w:p>
            <w:pPr>
              <w:spacing w:after="0" w:line="240" w:lineRule="auto"/>
            </w:pPr>
            <w:r>
              <w:rPr>
                <w:rFonts w:ascii="Cambria" w:hAnsi="Cambria"/>
                <w:b/>
                <w:i w:val="0"/>
                <w:color w:val="000000"/>
                <w:sz w:val="16"/>
              </w:rPr>
              <w:t>Official source</w:t>
            </w:r>
          </w:p>
        </w:tc>
      </w:tr>
      <w:tr>
        <w:trPr>
          <w:cantSplit/>
        </w:trPr>
        <w:tc>
          <w:tcPr>
            <w:tcW w:type="dxa" w:w="192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ISO 15189:2022</w:t>
            </w:r>
          </w:p>
        </w:tc>
        <w:tc>
          <w:tcPr>
            <w:tcW w:type="dxa" w:w="5216"/>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Medical laboratories — Requirements for quality and competence</w:t>
            </w:r>
          </w:p>
        </w:tc>
        <w:tc>
          <w:tcPr>
            <w:tcW w:type="dxa" w:w="351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6"/>
              </w:rPr>
              <w:t>https://www.iso.org/standard/76677.html</w:t>
            </w:r>
          </w:p>
        </w:tc>
      </w:tr>
      <w:tr>
        <w:trPr>
          <w:cantSplit/>
        </w:trPr>
        <w:tc>
          <w:tcPr>
            <w:tcW w:type="dxa" w:w="1928"/>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ISO 22367:2026</w:t>
            </w:r>
          </w:p>
        </w:tc>
        <w:tc>
          <w:tcPr>
            <w:tcW w:type="dxa" w:w="5216"/>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Medical laboratories — Application of risk management to medical laboratories</w:t>
            </w:r>
          </w:p>
        </w:tc>
        <w:tc>
          <w:tcPr>
            <w:tcW w:type="dxa" w:w="3515"/>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Pr>
          <w:p>
            <w:pPr>
              <w:spacing w:after="0" w:line="240" w:lineRule="auto"/>
            </w:pPr>
            <w:r>
              <w:rPr>
                <w:rFonts w:ascii="Cambria" w:hAnsi="Cambria"/>
                <w:b w:val="0"/>
                <w:i w:val="0"/>
                <w:color w:val="000000"/>
                <w:sz w:val="16"/>
              </w:rPr>
              <w:t>https://www.iso.org/standard/87738.html</w:t>
            </w:r>
          </w:p>
        </w:tc>
      </w:tr>
    </w:tbl>
    <w:p>
      <w:pPr>
        <w:spacing w:after="40"/>
      </w:pPr>
    </w:p>
    <w:tbl>
      <w:tblPr>
        <w:tblW w:type="auto" w:w="0"/>
        <w:jc w:val="center"/>
        <w:tblLook w:val="04A0"/>
      </w:tblPr>
      <w:tblGrid>
        <w:gridCol w:w="9355"/>
      </w:tblGrid>
      <w:tr>
        <w:trPr>
          <w:cantSplit/>
        </w:trPr>
        <w:tc>
          <w:tcPr>
            <w:tcW w:type="dxa" w:w="9355"/>
            <w:tcBorders>
              <w:top w:val="single" w:sz="4" w:space="0" w:color="D6B656"/>
              <w:left w:val="single" w:sz="4" w:space="0" w:color="D6B656"/>
              <w:bottom w:val="single" w:sz="4" w:space="0" w:color="D6B656"/>
              <w:right w:val="single" w:sz="4" w:space="0" w:color="D6B656"/>
              <w:insideH w:val="single" w:sz="4" w:space="0" w:color="D6B656"/>
              <w:insideV w:val="single" w:sz="4" w:space="0" w:color="D6B656"/>
            </w:tcBorders>
            <w:shd w:fill="FFF2CC" w:val="clear"/>
            <w:tcMar>
              <w:top w:w="80" w:type="dxa"/>
              <w:left w:w="110" w:type="dxa"/>
              <w:bottom w:w="80" w:type="dxa"/>
              <w:right w:w="110" w:type="dxa"/>
            </w:tcMar>
          </w:tcPr>
          <w:p>
            <w:pPr>
              <w:spacing w:after="0"/>
            </w:pPr>
            <w:r>
              <w:rPr>
                <w:rFonts w:ascii="Cambria" w:hAnsi="Cambria"/>
                <w:b w:val="0"/>
                <w:i/>
                <w:color w:val="C00000"/>
                <w:sz w:val="18"/>
              </w:rPr>
              <w:t>[Note] Use the organization’s authorized copy of the applicable standard as the definitive reference. This document paraphrases requirements and does not reproduce the standard text.</w:t>
            </w:r>
          </w:p>
        </w:tc>
      </w:tr>
    </w:tbl>
    <w:p>
      <w:pPr>
        <w:spacing w:after="20"/>
      </w:pPr>
    </w:p>
    <w:p>
      <w:pPr>
        <w:pStyle w:val="Heading1"/>
        <w:spacing w:before="140" w:after="80"/>
        <w:keepNext/>
      </w:pPr>
      <w:r>
        <w:t>Revision and Approval</w:t>
      </w:r>
    </w:p>
    <w:tbl>
      <w:tblPr>
        <w:tblStyle w:val="TableGrid"/>
        <w:tblW w:type="auto" w:w="0"/>
        <w:jc w:val="center"/>
        <w:tblLook w:val="04A0"/>
      </w:tblPr>
      <w:tblGrid>
        <w:gridCol w:w="2339"/>
        <w:gridCol w:w="2339"/>
        <w:gridCol w:w="2339"/>
        <w:gridCol w:w="2339"/>
      </w:tblGrid>
      <w:tr>
        <w:trPr>
          <w:tblHeader w:val="true"/>
          <w:cantSplit/>
        </w:trPr>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Mar>
              <w:top w:w="70" w:type="dxa"/>
              <w:left w:w="80" w:type="dxa"/>
              <w:bottom w:w="70" w:type="dxa"/>
              <w:right w:w="80" w:type="dxa"/>
            </w:tcMar>
            <w:vAlign w:val="center"/>
          </w:tcPr>
          <w:p>
            <w:pPr>
              <w:spacing w:after="0" w:line="240" w:lineRule="auto"/>
            </w:pPr>
            <w:r>
              <w:rPr>
                <w:rFonts w:ascii="Cambria" w:hAnsi="Cambria"/>
                <w:b/>
                <w:i w:val="0"/>
                <w:color w:val="000000"/>
                <w:sz w:val="17"/>
              </w:rPr>
              <w:t>Version</w:t>
            </w:r>
          </w:p>
        </w:tc>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Mar>
              <w:top w:w="70" w:type="dxa"/>
              <w:left w:w="80" w:type="dxa"/>
              <w:bottom w:w="70" w:type="dxa"/>
              <w:right w:w="80" w:type="dxa"/>
            </w:tcMar>
            <w:vAlign w:val="center"/>
          </w:tcPr>
          <w:p>
            <w:pPr>
              <w:spacing w:after="0" w:line="240" w:lineRule="auto"/>
            </w:pPr>
            <w:r>
              <w:rPr>
                <w:rFonts w:ascii="Cambria" w:hAnsi="Cambria"/>
                <w:b/>
                <w:i w:val="0"/>
                <w:color w:val="000000"/>
                <w:sz w:val="17"/>
              </w:rPr>
              <w:t>Date</w:t>
            </w:r>
          </w:p>
        </w:tc>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Mar>
              <w:top w:w="70" w:type="dxa"/>
              <w:left w:w="80" w:type="dxa"/>
              <w:bottom w:w="70" w:type="dxa"/>
              <w:right w:w="80" w:type="dxa"/>
            </w:tcMar>
            <w:vAlign w:val="center"/>
          </w:tcPr>
          <w:p>
            <w:pPr>
              <w:spacing w:after="0" w:line="240" w:lineRule="auto"/>
            </w:pPr>
            <w:r>
              <w:rPr>
                <w:rFonts w:ascii="Cambria" w:hAnsi="Cambria"/>
                <w:b/>
                <w:i w:val="0"/>
                <w:color w:val="000000"/>
                <w:sz w:val="17"/>
              </w:rPr>
              <w:t>Description</w:t>
            </w:r>
          </w:p>
        </w:tc>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D9EAF7" w:val="clear"/>
            <w:tcMar>
              <w:top w:w="70" w:type="dxa"/>
              <w:left w:w="80" w:type="dxa"/>
              <w:bottom w:w="70" w:type="dxa"/>
              <w:right w:w="80" w:type="dxa"/>
            </w:tcMar>
            <w:vAlign w:val="center"/>
          </w:tcPr>
          <w:p>
            <w:pPr>
              <w:spacing w:after="0" w:line="240" w:lineRule="auto"/>
            </w:pPr>
            <w:r>
              <w:rPr>
                <w:rFonts w:ascii="Cambria" w:hAnsi="Cambria"/>
                <w:b/>
                <w:i w:val="0"/>
                <w:color w:val="000000"/>
                <w:sz w:val="17"/>
              </w:rPr>
              <w:t>Approval Status</w:t>
            </w:r>
          </w:p>
        </w:tc>
      </w:tr>
      <w:tr>
        <w:trPr>
          <w:cantSplit/>
        </w:trPr>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1.0</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2026-09-19</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Initial issue</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Approved / [STATUS]</w:t>
            </w:r>
          </w:p>
        </w:tc>
      </w:tr>
      <w:tr>
        <w:trPr>
          <w:cantSplit/>
        </w:trPr>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Mar>
              <w:top w:w="70" w:type="dxa"/>
              <w:left w:w="80" w:type="dxa"/>
              <w:bottom w:w="70" w:type="dxa"/>
              <w:right w:w="80" w:type="dxa"/>
            </w:tcMar>
            <w:vAlign w:val="top"/>
          </w:tcPr>
          <w:p>
            <w:pPr>
              <w:spacing w:after="0" w:line="240" w:lineRule="auto"/>
            </w:pPr>
            <w:r>
              <w:rPr>
                <w:rFonts w:ascii="Cambria" w:hAnsi="Cambria"/>
                <w:b w:val="0"/>
                <w:i w:val="0"/>
                <w:color w:val="000000"/>
                <w:sz w:val="17"/>
              </w:rPr>
              <w:t>Prepared by</w:t>
            </w:r>
          </w:p>
        </w:tc>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Mar>
              <w:top w:w="70" w:type="dxa"/>
              <w:left w:w="80" w:type="dxa"/>
              <w:bottom w:w="70" w:type="dxa"/>
              <w:right w:w="80" w:type="dxa"/>
            </w:tcMar>
            <w:vAlign w:val="top"/>
          </w:tcPr>
          <w:p>
            <w:pPr>
              <w:spacing w:after="0" w:line="240" w:lineRule="auto"/>
            </w:pPr>
            <w:r>
              <w:rPr>
                <w:rFonts w:ascii="Cambria" w:hAnsi="Cambria"/>
                <w:b w:val="0"/>
                <w:i w:val="0"/>
                <w:color w:val="000000"/>
                <w:sz w:val="17"/>
              </w:rPr>
              <w:t>Reviewed by</w:t>
            </w:r>
          </w:p>
        </w:tc>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Mar>
              <w:top w:w="70" w:type="dxa"/>
              <w:left w:w="80" w:type="dxa"/>
              <w:bottom w:w="70" w:type="dxa"/>
              <w:right w:w="80" w:type="dxa"/>
            </w:tcMar>
            <w:vAlign w:val="top"/>
          </w:tcPr>
          <w:p>
            <w:pPr>
              <w:spacing w:after="0" w:line="240" w:lineRule="auto"/>
            </w:pPr>
            <w:r>
              <w:rPr>
                <w:rFonts w:ascii="Cambria" w:hAnsi="Cambria"/>
                <w:b w:val="0"/>
                <w:i w:val="0"/>
                <w:color w:val="000000"/>
                <w:sz w:val="17"/>
              </w:rPr>
              <w:t>Approved by</w:t>
            </w:r>
          </w:p>
        </w:tc>
        <w:tc>
          <w:tcPr>
            <w:tcW w:type="dxa" w:w="2339"/>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shd w:fill="FAFCFD" w:val="clear"/>
            <w:tcMar>
              <w:top w:w="70" w:type="dxa"/>
              <w:left w:w="80" w:type="dxa"/>
              <w:bottom w:w="70" w:type="dxa"/>
              <w:right w:w="80" w:type="dxa"/>
            </w:tcMar>
            <w:vAlign w:val="top"/>
          </w:tcPr>
          <w:p>
            <w:pPr>
              <w:spacing w:after="0" w:line="240" w:lineRule="auto"/>
            </w:pPr>
            <w:r>
              <w:rPr>
                <w:rFonts w:ascii="Cambria" w:hAnsi="Cambria"/>
                <w:b w:val="0"/>
                <w:i w:val="0"/>
                <w:color w:val="000000"/>
                <w:sz w:val="17"/>
              </w:rPr>
              <w:t>Approval Date</w:t>
            </w:r>
          </w:p>
        </w:tc>
      </w:tr>
      <w:tr>
        <w:trPr>
          <w:cantSplit/>
        </w:trPr>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[DOCUMENT OWNER]</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[REVIEWER]</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[APPROVER]</w:t>
            </w:r>
          </w:p>
        </w:tc>
        <w:tc>
          <w:tcPr>
            <w:tcW w:type="dxa" w:w="2339"/>
            <w:vAlign w:val="top"/>
            <w:tcMar>
              <w:top w:w="70" w:type="dxa"/>
              <w:left w:w="80" w:type="dxa"/>
              <w:bottom w:w="70" w:type="dxa"/>
              <w:right w:w="80" w:type="dxa"/>
            </w:tcMar>
            <w:tcBorders>
              <w:top w:val="single" w:sz="4" w:space="0" w:color="A6B8C7"/>
              <w:left w:val="single" w:sz="4" w:space="0" w:color="A6B8C7"/>
              <w:bottom w:val="single" w:sz="4" w:space="0" w:color="A6B8C7"/>
              <w:right w:val="single" w:sz="4" w:space="0" w:color="A6B8C7"/>
              <w:insideH w:val="single" w:sz="4" w:space="0" w:color="A6B8C7"/>
              <w:insideV w:val="single" w:sz="4" w:space="0" w:color="A6B8C7"/>
            </w:tcBorders>
          </w:tcPr>
          <w:p>
            <w:pPr>
              <w:spacing w:after="0" w:line="240" w:lineRule="auto"/>
            </w:pPr>
            <w:r>
              <w:rPr>
                <w:rFonts w:ascii="Cambria" w:hAnsi="Cambria"/>
                <w:b w:val="0"/>
                <w:i w:val="0"/>
                <w:color w:val="000000"/>
                <w:sz w:val="17"/>
              </w:rPr>
              <w:t>[DATE]</w:t>
            </w:r>
          </w:p>
        </w:tc>
      </w:tr>
    </w:tbl>
    <w:sectPr w:rsidR="00FC693F" w:rsidRPr="0006063C" w:rsidSect="00034616">
      <w:headerReference w:type="default" r:id="rId9"/>
      <w:footerReference w:type="default" r:id="rId10"/>
      <w:pgSz w:w="11906" w:h="16838"/>
      <w:pgMar w:top="1134" w:right="1134" w:bottom="1134" w:left="141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jc w:val="center"/>
    </w:pPr>
    <w:r>
      <w:rPr>
        <w:rFonts w:ascii="Cambria" w:hAnsi="Cambria"/>
        <w:b w:val="0"/>
        <w:i w:val="0"/>
        <w:color w:val="666666"/>
        <w:sz w:val="16"/>
      </w:rPr>
      <w:t>ISO TOOLKITS DOCUMENT | www.iso-toolkits.org | info@iso-toolkits.org | INTERNAL</w:t>
    </w:r>
  </w:p>
  <w:p>
    <w:pPr>
      <w:jc w:val="center"/>
    </w:pPr>
    <w:r>
      <w:rPr>
        <w:rFonts w:ascii="Cambria" w:hAnsi="Cambria"/>
        <w:color w:val="666666"/>
        <w:sz w:val="16"/>
      </w:rP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pPr>
  </w:p>
  <w:tbl>
    <w:tblPr>
      <w:tblW w:type="auto" w:w="0"/>
      <w:jc w:val="center"/>
      <w:tblLook w:val="04A0"/>
    </w:tblPr>
    <w:tblGrid>
      <w:gridCol w:w="3118"/>
      <w:gridCol w:w="3118"/>
      <w:gridCol w:w="3118"/>
    </w:tblGrid>
    <w:tr>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40" w:type="dxa"/>
            <w:left w:w="50" w:type="dxa"/>
            <w:bottom w:w="40" w:type="dxa"/>
            <w:right w:w="50" w:type="dxa"/>
          </w:tcMar>
        </w:tcPr>
        <w:p>
          <w:pPr>
            <w:jc w:val="center"/>
          </w:pPr>
          <w:r>
            <w:rPr>
              <w:rFonts w:ascii="Cambria" w:hAnsi="Cambria"/>
              <w:b w:val="0"/>
              <w:i w:val="0"/>
              <w:color w:val="000000"/>
              <w:sz w:val="16"/>
            </w:rPr>
            <w:t>ORGANIZATION</w:t>
            <w:br/>
            <w:t>LOGO</w:t>
          </w:r>
        </w:p>
      </w:tc>
      <w:tc>
        <w:tcPr>
          <w:tcW w:type="dxa" w:w="45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40" w:type="dxa"/>
            <w:left w:w="50" w:type="dxa"/>
            <w:bottom w:w="40" w:type="dxa"/>
            <w:right w:w="50" w:type="dxa"/>
          </w:tcMar>
        </w:tcPr>
        <w:p>
          <w:pPr>
            <w:jc w:val="center"/>
          </w:pPr>
          <w:r>
            <w:rPr>
              <w:rFonts w:ascii="Cambria" w:hAnsi="Cambria"/>
              <w:b/>
              <w:i w:val="0"/>
              <w:color w:val="1F4E79"/>
              <w:sz w:val="16"/>
            </w:rPr>
            <w:t>[ORGANIZATION NAME]</w:t>
            <w:br/>
            <w:t>Laboratory Quality Policy, Objectives &amp; Indicators Guidance</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40" w:type="dxa"/>
            <w:left w:w="50" w:type="dxa"/>
            <w:bottom w:w="40" w:type="dxa"/>
            <w:right w:w="50" w:type="dxa"/>
          </w:tcMar>
        </w:tcPr>
        <w:p>
          <w:pPr>
            <w:jc w:val="center"/>
          </w:pPr>
          <w:r>
            <w:rPr>
              <w:rFonts w:ascii="Cambria" w:hAnsi="Cambria"/>
              <w:b w:val="0"/>
              <w:i w:val="0"/>
              <w:color w:val="000000"/>
              <w:sz w:val="16"/>
            </w:rPr>
            <w:t>LQMS-GDE-003</w:t>
            <w:br/>
            <w:t>Version 1.0</w:t>
            <w:br/>
            <w:t>2026-09-19</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mbria" w:hAnsi="Cambria"/>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Cambria" w:hAnsi="Cambria"/>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Cambria" w:hAnsi="Cambria"/>
      <w:b/>
      <w:bCs/>
      <w:color w:val="1F4E79"/>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Cambria" w:hAnsi="Cambria"/>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Quality Policy, Objectives &amp; Indicators Guidance</dc:title>
  <dc:subject>ISO 15189:2022 — Medical laboratories — Requirements for quality and competence toolkit document</dc:subject>
  <dc:creator>ISO Toolkits</dc:creator>
  <cp:keywords>ISO 15189, medical laboratory, LQMS, quality, competence, accreditation</cp:keywords>
  <dc:description>Professional ISO 15189 toolkit document. Website: www.iso-toolkits.org; Email: info@iso-toolkits.org</dc:description>
  <cp:lastModifiedBy/>
  <cp:revision>1</cp:revision>
  <dcterms:created xsi:type="dcterms:W3CDTF">2013-12-23T23:15:00Z</dcterms:created>
  <dcterms:modified xsi:type="dcterms:W3CDTF">2013-12-23T23:15:00Z</dcterms:modified>
  <cp:category/>
</cp:coreProperties>
</file>