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spacing w:before="800"/>
        <w:jc w:val="center"/>
      </w:pPr>
      <w:r>
        <w:rPr>
          <w:rFonts w:ascii="Cambria" w:hAnsi="Cambria"/>
          <w:b/>
          <w:i w:val="0"/>
          <w:color w:val="1F4E79"/>
          <w:sz w:val="44"/>
        </w:rPr>
        <w:t>Laboratory Quality Management System Guidance</w:t>
      </w:r>
    </w:p>
    <w:p>
      <w:pPr>
        <w:jc w:val="center"/>
      </w:pPr>
      <w:r>
        <w:rPr>
          <w:rFonts w:ascii="Cambria" w:hAnsi="Cambria"/>
          <w:b w:val="0"/>
          <w:i w:val="0"/>
          <w:color w:val="555555"/>
          <w:sz w:val="24"/>
        </w:rPr>
        <w:t>Practical guidance for establishing, operating and improving an ISO 15189-aligned LQMS</w:t>
      </w:r>
    </w:p>
    <w:p>
      <w:pPr>
        <w:spacing w:before="200"/>
        <w:jc w:val="center"/>
      </w:pPr>
      <w:r>
        <w:rPr>
          <w:rFonts w:ascii="Cambria" w:hAnsi="Cambria"/>
          <w:b/>
          <w:i w:val="0"/>
          <w:color w:val="1F4E79"/>
          <w:sz w:val="21"/>
        </w:rPr>
        <w:t>ISO 15189:2022 — Medical laboratories — Requirements for quality and competence</w:t>
      </w:r>
    </w:p>
    <w:tbl>
      <w:tblPr>
        <w:tblStyle w:val="TableGrid"/>
        <w:tblW w:type="auto" w:w="0"/>
        <w:jc w:val="center"/>
        <w:tblLook w:val="04A0"/>
      </w:tblPr>
      <w:tblGrid>
        <w:gridCol w:w="2339"/>
        <w:gridCol w:w="2339"/>
        <w:gridCol w:w="2339"/>
        <w:gridCol w:w="2339"/>
      </w:tblGrid>
      <w:tr>
        <w:trPr>
          <w:tblHeader w:val="true"/>
          <w:cantSplit/>
        </w:trPr>
        <w:tc>
          <w:tcPr>
            <w:tcW w:type="dxa" w:w="2339"/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D9EAF7" w:val="clear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Cambria" w:hAnsi="Cambria"/>
                <w:b/>
                <w:i w:val="0"/>
                <w:color w:val="000000"/>
                <w:sz w:val="18"/>
              </w:rPr>
              <w:t>Document Code</w:t>
            </w:r>
          </w:p>
        </w:tc>
        <w:tc>
          <w:tcPr>
            <w:tcW w:type="dxa" w:w="2339"/>
            <w:vAlign w:val="center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D9EAF7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/>
                <w:i w:val="0"/>
                <w:color w:val="000000"/>
                <w:sz w:val="18"/>
              </w:rPr>
              <w:t>LQMS-GDE-001</w:t>
            </w:r>
          </w:p>
        </w:tc>
        <w:tc>
          <w:tcPr>
            <w:tcW w:type="dxa" w:w="2339"/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D9EAF7" w:val="clear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Cambria" w:hAnsi="Cambria"/>
                <w:b/>
                <w:i w:val="0"/>
                <w:color w:val="000000"/>
                <w:sz w:val="18"/>
              </w:rPr>
              <w:t>Version</w:t>
            </w:r>
          </w:p>
        </w:tc>
        <w:tc>
          <w:tcPr>
            <w:tcW w:type="dxa" w:w="2339"/>
            <w:vAlign w:val="center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D9EAF7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/>
                <w:i w:val="0"/>
                <w:color w:val="000000"/>
                <w:sz w:val="18"/>
              </w:rPr>
              <w:t>1.0</w:t>
            </w:r>
          </w:p>
        </w:tc>
      </w:tr>
      <w:tr>
        <w:trPr>
          <w:cantSplit/>
        </w:trPr>
        <w:tc>
          <w:tcPr>
            <w:tcW w:type="dxa" w:w="2339"/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EAF3F8" w:val="clear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8"/>
              </w:rPr>
              <w:t>Effective Date</w:t>
            </w:r>
          </w:p>
        </w:tc>
        <w:tc>
          <w:tcPr>
            <w:tcW w:type="dxa" w:w="2339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8"/>
              </w:rPr>
              <w:t>2026-09-19</w:t>
            </w:r>
          </w:p>
        </w:tc>
        <w:tc>
          <w:tcPr>
            <w:tcW w:type="dxa" w:w="2339"/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EAF3F8" w:val="clear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8"/>
              </w:rPr>
              <w:t>Classification</w:t>
            </w:r>
          </w:p>
        </w:tc>
        <w:tc>
          <w:tcPr>
            <w:tcW w:type="dxa" w:w="2339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8"/>
              </w:rPr>
              <w:t>INTERNAL</w:t>
            </w:r>
          </w:p>
        </w:tc>
      </w:tr>
      <w:tr>
        <w:trPr>
          <w:cantSplit/>
        </w:trPr>
        <w:tc>
          <w:tcPr>
            <w:tcW w:type="dxa" w:w="2339"/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FAFCFD" w:val="clear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8"/>
              </w:rPr>
              <w:t>Document Owner</w:t>
            </w:r>
          </w:p>
        </w:tc>
        <w:tc>
          <w:tcPr>
            <w:tcW w:type="dxa" w:w="2339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FAFCFD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8"/>
              </w:rPr>
              <w:t>[DOCUMENT OWNER]</w:t>
            </w:r>
          </w:p>
        </w:tc>
        <w:tc>
          <w:tcPr>
            <w:tcW w:type="dxa" w:w="2339"/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FAFCFD" w:val="clear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8"/>
              </w:rPr>
              <w:t>Approver</w:t>
            </w:r>
          </w:p>
        </w:tc>
        <w:tc>
          <w:tcPr>
            <w:tcW w:type="dxa" w:w="2339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FAFCFD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8"/>
              </w:rPr>
              <w:t>[APPROVER]</w:t>
            </w:r>
          </w:p>
        </w:tc>
      </w:tr>
      <w:tr>
        <w:trPr>
          <w:cantSplit/>
        </w:trPr>
        <w:tc>
          <w:tcPr>
            <w:tcW w:type="dxa" w:w="2339"/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EAF3F8" w:val="clear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8"/>
              </w:rPr>
              <w:t>Organization</w:t>
            </w:r>
          </w:p>
        </w:tc>
        <w:tc>
          <w:tcPr>
            <w:tcW w:type="dxa" w:w="2339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8"/>
              </w:rPr>
              <w:t>[ORGANIZATION NAME]</w:t>
            </w:r>
          </w:p>
        </w:tc>
        <w:tc>
          <w:tcPr>
            <w:tcW w:type="dxa" w:w="2339"/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EAF3F8" w:val="clear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8"/>
              </w:rPr>
              <w:t>Review Cycle</w:t>
            </w:r>
          </w:p>
        </w:tc>
        <w:tc>
          <w:tcPr>
            <w:tcW w:type="dxa" w:w="2339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8"/>
              </w:rPr>
              <w:t>[ANNUAL / UPON CHANGE]</w:t>
            </w:r>
          </w:p>
        </w:tc>
      </w:tr>
      <w:tr>
        <w:trPr>
          <w:cantSplit/>
        </w:trPr>
        <w:tc>
          <w:tcPr>
            <w:tcW w:type="dxa" w:w="2339"/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FAFCFD" w:val="clear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8"/>
              </w:rPr>
              <w:t>Website</w:t>
            </w:r>
          </w:p>
        </w:tc>
        <w:tc>
          <w:tcPr>
            <w:tcW w:type="dxa" w:w="2339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FAFCFD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8"/>
              </w:rPr>
              <w:t>www.iso-toolkits.org</w:t>
            </w:r>
          </w:p>
        </w:tc>
        <w:tc>
          <w:tcPr>
            <w:tcW w:type="dxa" w:w="2339"/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FAFCFD" w:val="clear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8"/>
              </w:rPr>
              <w:t>Email</w:t>
            </w:r>
          </w:p>
        </w:tc>
        <w:tc>
          <w:tcPr>
            <w:tcW w:type="dxa" w:w="2339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FAFCFD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8"/>
              </w:rPr>
              <w:t>info@iso-toolkits.org</w:t>
            </w:r>
          </w:p>
        </w:tc>
      </w:tr>
    </w:tbl>
    <w:p/>
    <w:tbl>
      <w:tblPr>
        <w:tblW w:type="auto" w:w="0"/>
        <w:jc w:val="center"/>
        <w:tblLook w:val="04A0"/>
      </w:tblPr>
      <w:tblGrid>
        <w:gridCol w:w="9355"/>
      </w:tblGrid>
      <w:tr>
        <w:trPr>
          <w:cantSplit/>
        </w:trPr>
        <w:tc>
          <w:tcPr>
            <w:tcW w:type="dxa" w:w="9355"/>
            <w:tcBorders>
              <w:top w:val="single" w:sz="4" w:space="0" w:color="D6B656"/>
              <w:left w:val="single" w:sz="4" w:space="0" w:color="D6B656"/>
              <w:bottom w:val="single" w:sz="4" w:space="0" w:color="D6B656"/>
              <w:right w:val="single" w:sz="4" w:space="0" w:color="D6B656"/>
              <w:insideH w:val="single" w:sz="4" w:space="0" w:color="D6B656"/>
              <w:insideV w:val="single" w:sz="4" w:space="0" w:color="D6B656"/>
            </w:tcBorders>
            <w:shd w:fill="FFF2CC" w:val="clear"/>
            <w:tcMar>
              <w:top w:w="80" w:type="dxa"/>
              <w:left w:w="110" w:type="dxa"/>
              <w:bottom w:w="8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Cambria" w:hAnsi="Cambria"/>
                <w:b w:val="0"/>
                <w:i/>
                <w:color w:val="C00000"/>
                <w:sz w:val="18"/>
              </w:rPr>
              <w:t>[Note] Replace organization-specific placeholders and confirm applicable statutory, regulatory, accreditation and payer requirements before controlled release.</w:t>
            </w:r>
          </w:p>
        </w:tc>
      </w:tr>
    </w:tbl>
    <w:p>
      <w:pPr>
        <w:spacing w:after="20"/>
      </w:pPr>
    </w:p>
    <w:p>
      <w:r>
        <w:br w:type="page"/>
      </w:r>
    </w:p>
    <w:p>
      <w:pPr>
        <w:pStyle w:val="Heading1"/>
        <w:spacing w:before="140" w:after="80"/>
        <w:keepNext/>
      </w:pPr>
      <w:r>
        <w:t>1. Purpose</w:t>
      </w:r>
    </w:p>
    <w:p>
      <w:pPr>
        <w:spacing w:after="80" w:line="259" w:lineRule="auto"/>
      </w:pPr>
      <w:r>
        <w:rPr>
          <w:rFonts w:ascii="Cambria" w:hAnsi="Cambria"/>
          <w:b w:val="0"/>
          <w:i w:val="0"/>
          <w:color w:val="000000"/>
          <w:sz w:val="21"/>
        </w:rPr>
        <w:t>This guidance explains how to build a practical laboratory quality management system around patient needs, reliable examination results, technical competence and effective governance. It is intended for laboratories implementing ISO 15189:2022 or strengthening an existing system before internal assurance or accreditation activities.</w:t>
      </w:r>
    </w:p>
    <w:p>
      <w:pPr>
        <w:pStyle w:val="Heading1"/>
        <w:spacing w:before="140" w:after="80"/>
        <w:keepNext/>
      </w:pPr>
      <w:r>
        <w:t>2. Guiding Principles</w:t>
      </w:r>
    </w:p>
    <w:p>
      <w:pPr>
        <w:pStyle w:val="ListBullet"/>
        <w:spacing w:after="40"/>
        <w:ind w:left="283" w:hanging="142"/>
      </w:pPr>
      <w:r>
        <w:rPr>
          <w:rFonts w:ascii="Cambria" w:hAnsi="Cambria"/>
          <w:b w:val="0"/>
          <w:i w:val="0"/>
          <w:color w:val="000000"/>
          <w:sz w:val="20"/>
        </w:rPr>
        <w:t>Patient welfare and result reliability are the primary decision lenses for the LQMS.</w:t>
      </w:r>
    </w:p>
    <w:p>
      <w:pPr>
        <w:pStyle w:val="ListBullet"/>
        <w:spacing w:after="40"/>
        <w:ind w:left="283" w:hanging="142"/>
      </w:pPr>
      <w:r>
        <w:rPr>
          <w:rFonts w:ascii="Cambria" w:hAnsi="Cambria"/>
          <w:b w:val="0"/>
          <w:i w:val="0"/>
          <w:color w:val="000000"/>
          <w:sz w:val="20"/>
        </w:rPr>
        <w:t>Quality management and technical competence must operate as one system; documents alone do not demonstrate competence.</w:t>
      </w:r>
    </w:p>
    <w:p>
      <w:pPr>
        <w:pStyle w:val="ListBullet"/>
        <w:spacing w:after="40"/>
        <w:ind w:left="283" w:hanging="142"/>
      </w:pPr>
      <w:r>
        <w:rPr>
          <w:rFonts w:ascii="Cambria" w:hAnsi="Cambria"/>
          <w:b w:val="0"/>
          <w:i w:val="0"/>
          <w:color w:val="000000"/>
          <w:sz w:val="20"/>
        </w:rPr>
        <w:t>Controls should be risk-based and proportionate to the possible consequences of error or service failure.</w:t>
      </w:r>
    </w:p>
    <w:p>
      <w:pPr>
        <w:pStyle w:val="ListBullet"/>
        <w:spacing w:after="40"/>
        <w:ind w:left="283" w:hanging="142"/>
      </w:pPr>
      <w:r>
        <w:rPr>
          <w:rFonts w:ascii="Cambria" w:hAnsi="Cambria"/>
          <w:b w:val="0"/>
          <w:i w:val="0"/>
          <w:color w:val="000000"/>
          <w:sz w:val="20"/>
        </w:rPr>
        <w:t>Evidence should be generated naturally from routine work and be attributable, traceable and reviewable.</w:t>
      </w:r>
    </w:p>
    <w:p>
      <w:pPr>
        <w:pStyle w:val="ListBullet"/>
        <w:spacing w:after="40"/>
        <w:ind w:left="283" w:hanging="142"/>
      </w:pPr>
      <w:r>
        <w:rPr>
          <w:rFonts w:ascii="Cambria" w:hAnsi="Cambria"/>
          <w:b w:val="0"/>
          <w:i w:val="0"/>
          <w:color w:val="000000"/>
          <w:sz w:val="20"/>
        </w:rPr>
        <w:t>Improvement should be driven by data, audit results, complaints, nonconformities, risk trends and clinical/service feedback.</w:t>
      </w:r>
    </w:p>
    <w:p>
      <w:pPr>
        <w:pStyle w:val="Heading1"/>
        <w:spacing w:before="140" w:after="80"/>
        <w:keepNext/>
      </w:pPr>
      <w:r>
        <w:t>3. LQMS Operating Model</w:t>
      </w:r>
    </w:p>
    <w:tbl>
      <w:tblPr>
        <w:tblStyle w:val="TableGrid"/>
        <w:tblW w:type="auto" w:w="0"/>
        <w:jc w:val="center"/>
        <w:tblLook w:val="04A0"/>
      </w:tblPr>
      <w:tblGrid>
        <w:gridCol w:w="3118"/>
        <w:gridCol w:w="3118"/>
        <w:gridCol w:w="3118"/>
      </w:tblGrid>
      <w:tr>
        <w:trPr>
          <w:tblHeader w:val="true"/>
          <w:cantSplit/>
        </w:trPr>
        <w:tc>
          <w:tcPr>
            <w:tcW w:type="dxa" w:w="2268"/>
            <w:vAlign w:val="center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D9EAF7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/>
                <w:i w:val="0"/>
                <w:color w:val="000000"/>
                <w:sz w:val="17"/>
              </w:rPr>
              <w:t>System element</w:t>
            </w:r>
          </w:p>
        </w:tc>
        <w:tc>
          <w:tcPr>
            <w:tcW w:type="dxa" w:w="5102"/>
            <w:vAlign w:val="center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D9EAF7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/>
                <w:i w:val="0"/>
                <w:color w:val="000000"/>
                <w:sz w:val="17"/>
              </w:rPr>
              <w:t>Practical implementation focus</w:t>
            </w:r>
          </w:p>
        </w:tc>
        <w:tc>
          <w:tcPr>
            <w:tcW w:type="dxa" w:w="3685"/>
            <w:vAlign w:val="center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D9EAF7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/>
                <w:i w:val="0"/>
                <w:color w:val="000000"/>
                <w:sz w:val="17"/>
              </w:rPr>
              <w:t>Typical evidence</w:t>
            </w:r>
          </w:p>
        </w:tc>
      </w:tr>
      <w:tr>
        <w:trPr>
          <w:cantSplit/>
        </w:trPr>
        <w:tc>
          <w:tcPr>
            <w:tcW w:type="dxa" w:w="2268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  <w:t>Governance &amp; structure</w:t>
            </w:r>
          </w:p>
        </w:tc>
        <w:tc>
          <w:tcPr>
            <w:tcW w:type="dxa" w:w="5102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  <w:t>Define authority, scope, impartiality, confidentiality, responsibilities and service interfaces.</w:t>
            </w:r>
          </w:p>
        </w:tc>
        <w:tc>
          <w:tcPr>
            <w:tcW w:type="dxa" w:w="3685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  <w:t>Scope statement, organization chart, policies, responsibility matrix.</w:t>
            </w:r>
          </w:p>
        </w:tc>
      </w:tr>
      <w:tr>
        <w:trPr>
          <w:cantSplit/>
        </w:trPr>
        <w:tc>
          <w:tcPr>
            <w:tcW w:type="dxa" w:w="2268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FAFCFD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  <w:t>Resources</w:t>
            </w:r>
          </w:p>
        </w:tc>
        <w:tc>
          <w:tcPr>
            <w:tcW w:type="dxa" w:w="5102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FAFCFD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  <w:t>Ensure competent personnel, suitable facilities, equipment, reagents, external services and information systems.</w:t>
            </w:r>
          </w:p>
        </w:tc>
        <w:tc>
          <w:tcPr>
            <w:tcW w:type="dxa" w:w="3685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FAFCFD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  <w:t>Competence records, equipment files, provider evaluations, LIS validation.</w:t>
            </w:r>
          </w:p>
        </w:tc>
      </w:tr>
      <w:tr>
        <w:trPr>
          <w:cantSplit/>
        </w:trPr>
        <w:tc>
          <w:tcPr>
            <w:tcW w:type="dxa" w:w="2268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  <w:t>Pre-examination</w:t>
            </w:r>
          </w:p>
        </w:tc>
        <w:tc>
          <w:tcPr>
            <w:tcW w:type="dxa" w:w="5102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  <w:t>Control requests, patient preparation/identification, collection, transport, receipt and sample suitability.</w:t>
            </w:r>
          </w:p>
        </w:tc>
        <w:tc>
          <w:tcPr>
            <w:tcW w:type="dxa" w:w="3685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  <w:t>Collection instructions, transport records, rejection/exception records.</w:t>
            </w:r>
          </w:p>
        </w:tc>
      </w:tr>
      <w:tr>
        <w:trPr>
          <w:cantSplit/>
        </w:trPr>
        <w:tc>
          <w:tcPr>
            <w:tcW w:type="dxa" w:w="2268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FAFCFD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  <w:t>Examination</w:t>
            </w:r>
          </w:p>
        </w:tc>
        <w:tc>
          <w:tcPr>
            <w:tcW w:type="dxa" w:w="5102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FAFCFD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  <w:t>Use fit-for-purpose methods, technical authorization, quality control and external comparison.</w:t>
            </w:r>
          </w:p>
        </w:tc>
        <w:tc>
          <w:tcPr>
            <w:tcW w:type="dxa" w:w="3685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FAFCFD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  <w:t>Method files, SOPs, QC/EQA records, technical reviews.</w:t>
            </w:r>
          </w:p>
        </w:tc>
      </w:tr>
      <w:tr>
        <w:trPr>
          <w:cantSplit/>
        </w:trPr>
        <w:tc>
          <w:tcPr>
            <w:tcW w:type="dxa" w:w="2268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  <w:t>Post-examination</w:t>
            </w:r>
          </w:p>
        </w:tc>
        <w:tc>
          <w:tcPr>
            <w:tcW w:type="dxa" w:w="5102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  <w:t>Review, authorize, report and communicate results safely, including critical and amended results.</w:t>
            </w:r>
          </w:p>
        </w:tc>
        <w:tc>
          <w:tcPr>
            <w:tcW w:type="dxa" w:w="3685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  <w:t>Authorization records, reports, critical-result logs, amendments.</w:t>
            </w:r>
          </w:p>
        </w:tc>
      </w:tr>
      <w:tr>
        <w:trPr>
          <w:cantSplit/>
        </w:trPr>
        <w:tc>
          <w:tcPr>
            <w:tcW w:type="dxa" w:w="2268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FAFCFD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  <w:t>Management system</w:t>
            </w:r>
          </w:p>
        </w:tc>
        <w:tc>
          <w:tcPr>
            <w:tcW w:type="dxa" w:w="5102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FAFCFD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  <w:t>Control documents/records, risks, nonconformities, complaints, audits, management review and improvement.</w:t>
            </w:r>
          </w:p>
        </w:tc>
        <w:tc>
          <w:tcPr>
            <w:tcW w:type="dxa" w:w="3685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FAFCFD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  <w:t>Registers, audit reports, CAPA, management review minutes, indicators.</w:t>
            </w:r>
          </w:p>
        </w:tc>
      </w:tr>
    </w:tbl>
    <w:p>
      <w:pPr>
        <w:spacing w:after="40"/>
      </w:pPr>
    </w:p>
    <w:p>
      <w:pPr>
        <w:pStyle w:val="Heading1"/>
        <w:spacing w:before="140" w:after="80"/>
        <w:keepNext/>
      </w:pPr>
      <w:r>
        <w:t>4. Recommended Implementation Path</w:t>
      </w:r>
    </w:p>
    <w:p>
      <w:pPr>
        <w:pStyle w:val="ListNumber"/>
        <w:spacing w:after="60"/>
      </w:pPr>
      <w:r>
        <w:rPr>
          <w:rFonts w:ascii="Cambria" w:hAnsi="Cambria"/>
          <w:b w:val="0"/>
          <w:i w:val="0"/>
          <w:color w:val="000000"/>
          <w:sz w:val="20"/>
        </w:rPr>
        <w:t>Define the laboratory service scope, organizational interfaces, accreditation goals and implementation governance.</w:t>
      </w:r>
    </w:p>
    <w:p>
      <w:pPr>
        <w:pStyle w:val="ListNumber"/>
        <w:spacing w:after="60"/>
      </w:pPr>
      <w:r>
        <w:rPr>
          <w:rFonts w:ascii="Cambria" w:hAnsi="Cambria"/>
          <w:b w:val="0"/>
          <w:i w:val="0"/>
          <w:color w:val="000000"/>
          <w:sz w:val="20"/>
        </w:rPr>
        <w:t>Perform a gap analysis using interviews, observation, document review and evidence sampling.</w:t>
      </w:r>
    </w:p>
    <w:p>
      <w:pPr>
        <w:pStyle w:val="ListNumber"/>
        <w:spacing w:after="60"/>
      </w:pPr>
      <w:r>
        <w:rPr>
          <w:rFonts w:ascii="Cambria" w:hAnsi="Cambria"/>
          <w:b w:val="0"/>
          <w:i w:val="0"/>
          <w:color w:val="000000"/>
          <w:sz w:val="20"/>
        </w:rPr>
        <w:t>Build the document architecture and assign process ownership before drafting large volumes of procedures.</w:t>
      </w:r>
    </w:p>
    <w:p>
      <w:pPr>
        <w:pStyle w:val="ListNumber"/>
        <w:spacing w:after="60"/>
      </w:pPr>
      <w:r>
        <w:rPr>
          <w:rFonts w:ascii="Cambria" w:hAnsi="Cambria"/>
          <w:b w:val="0"/>
          <w:i w:val="0"/>
          <w:color w:val="000000"/>
          <w:sz w:val="20"/>
        </w:rPr>
        <w:t>Prioritize patient-safety and technical-competence controls first: personnel authorization, methods, QC/EQA, equipment, sample integrity, reporting and information systems.</w:t>
      </w:r>
    </w:p>
    <w:p>
      <w:pPr>
        <w:pStyle w:val="ListNumber"/>
        <w:spacing w:after="60"/>
      </w:pPr>
      <w:r>
        <w:rPr>
          <w:rFonts w:ascii="Cambria" w:hAnsi="Cambria"/>
          <w:b w:val="0"/>
          <w:i w:val="0"/>
          <w:color w:val="000000"/>
          <w:sz w:val="20"/>
        </w:rPr>
        <w:t>Implement risk, nonconformity, complaint and corrective-action processes that can respond quickly when reliability is threatened.</w:t>
      </w:r>
    </w:p>
    <w:p>
      <w:pPr>
        <w:pStyle w:val="ListNumber"/>
        <w:spacing w:after="60"/>
      </w:pPr>
      <w:r>
        <w:rPr>
          <w:rFonts w:ascii="Cambria" w:hAnsi="Cambria"/>
          <w:b w:val="0"/>
          <w:i w:val="0"/>
          <w:color w:val="000000"/>
          <w:sz w:val="20"/>
        </w:rPr>
        <w:t>Operate the controls long enough to generate representative records and trends.</w:t>
      </w:r>
    </w:p>
    <w:p>
      <w:pPr>
        <w:pStyle w:val="ListNumber"/>
        <w:spacing w:after="60"/>
      </w:pPr>
      <w:r>
        <w:rPr>
          <w:rFonts w:ascii="Cambria" w:hAnsi="Cambria"/>
          <w:b w:val="0"/>
          <w:i w:val="0"/>
          <w:color w:val="000000"/>
          <w:sz w:val="20"/>
        </w:rPr>
        <w:t>Conduct internal audits, management review and targeted readiness reviews; close significant gaps before external assessment.</w:t>
      </w:r>
    </w:p>
    <w:p>
      <w:pPr>
        <w:pStyle w:val="Heading1"/>
        <w:spacing w:before="140" w:after="80"/>
        <w:keepNext/>
      </w:pPr>
      <w:r>
        <w:t>5. Documented Information Strategy</w:t>
      </w:r>
    </w:p>
    <w:p>
      <w:pPr>
        <w:spacing w:after="80" w:line="259" w:lineRule="auto"/>
      </w:pPr>
      <w:r>
        <w:rPr>
          <w:rFonts w:ascii="Cambria" w:hAnsi="Cambria"/>
          <w:b w:val="0"/>
          <w:i w:val="0"/>
          <w:color w:val="000000"/>
          <w:sz w:val="21"/>
        </w:rPr>
        <w:t>Use the minimum controlled documentation needed to make work consistent, responsibilities clear and evidence retrievable. A typical hierarchy uses policies and the management manual for direction; procedures for cross-functional processes; SOPs/work instructions for technical work; and forms/registers/records for evidence.</w:t>
      </w:r>
    </w:p>
    <w:tbl>
      <w:tblPr>
        <w:tblW w:type="auto" w:w="0"/>
        <w:jc w:val="center"/>
        <w:tblLook w:val="04A0"/>
      </w:tblPr>
      <w:tblGrid>
        <w:gridCol w:w="9355"/>
      </w:tblGrid>
      <w:tr>
        <w:trPr>
          <w:cantSplit/>
        </w:trPr>
        <w:tc>
          <w:tcPr>
            <w:tcW w:type="dxa" w:w="9355"/>
            <w:tcBorders>
              <w:top w:val="single" w:sz="4" w:space="0" w:color="D6B656"/>
              <w:left w:val="single" w:sz="4" w:space="0" w:color="D6B656"/>
              <w:bottom w:val="single" w:sz="4" w:space="0" w:color="D6B656"/>
              <w:right w:val="single" w:sz="4" w:space="0" w:color="D6B656"/>
              <w:insideH w:val="single" w:sz="4" w:space="0" w:color="D6B656"/>
              <w:insideV w:val="single" w:sz="4" w:space="0" w:color="D6B656"/>
            </w:tcBorders>
            <w:shd w:fill="FFF2CC" w:val="clear"/>
            <w:tcMar>
              <w:top w:w="80" w:type="dxa"/>
              <w:left w:w="110" w:type="dxa"/>
              <w:bottom w:w="8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Cambria" w:hAnsi="Cambria"/>
                <w:b w:val="0"/>
                <w:i/>
                <w:color w:val="C00000"/>
                <w:sz w:val="18"/>
              </w:rPr>
              <w:t>[Note] Avoid writing procedures that simply repeat the standard. A useful procedure tells staff who does what, when, with which inputs, what decisions are required and what record proves completion.</w:t>
            </w:r>
          </w:p>
        </w:tc>
      </w:tr>
    </w:tbl>
    <w:p>
      <w:pPr>
        <w:spacing w:after="20"/>
      </w:pPr>
    </w:p>
    <w:p>
      <w:pPr>
        <w:pStyle w:val="Heading1"/>
        <w:spacing w:before="140" w:after="80"/>
        <w:keepNext/>
      </w:pPr>
      <w:r>
        <w:t>6. Competence and Authorization</w:t>
      </w:r>
    </w:p>
    <w:p>
      <w:pPr>
        <w:pStyle w:val="ListBullet"/>
        <w:spacing w:after="40"/>
        <w:ind w:left="283" w:hanging="142"/>
      </w:pPr>
      <w:r>
        <w:rPr>
          <w:rFonts w:ascii="Cambria" w:hAnsi="Cambria"/>
          <w:b w:val="0"/>
          <w:i w:val="0"/>
          <w:color w:val="000000"/>
          <w:sz w:val="20"/>
        </w:rPr>
        <w:t>Define qualification and competence criteria for each role before assessing individuals.</w:t>
      </w:r>
    </w:p>
    <w:p>
      <w:pPr>
        <w:pStyle w:val="ListBullet"/>
        <w:spacing w:after="40"/>
        <w:ind w:left="283" w:hanging="142"/>
      </w:pPr>
      <w:r>
        <w:rPr>
          <w:rFonts w:ascii="Cambria" w:hAnsi="Cambria"/>
          <w:b w:val="0"/>
          <w:i w:val="0"/>
          <w:color w:val="000000"/>
          <w:sz w:val="20"/>
        </w:rPr>
        <w:t>Use observed practice, record review, blind or known samples, QC interpretation, result-review scenarios and other relevant methods to assess competence.</w:t>
      </w:r>
    </w:p>
    <w:p>
      <w:pPr>
        <w:pStyle w:val="ListBullet"/>
        <w:spacing w:after="40"/>
        <w:ind w:left="283" w:hanging="142"/>
      </w:pPr>
      <w:r>
        <w:rPr>
          <w:rFonts w:ascii="Cambria" w:hAnsi="Cambria"/>
          <w:b w:val="0"/>
          <w:i w:val="0"/>
          <w:color w:val="000000"/>
          <w:sz w:val="20"/>
        </w:rPr>
        <w:t>Separate training completion from authorization; authorization should follow demonstrated competence.</w:t>
      </w:r>
    </w:p>
    <w:p>
      <w:pPr>
        <w:pStyle w:val="ListBullet"/>
        <w:spacing w:after="40"/>
        <w:ind w:left="283" w:hanging="142"/>
      </w:pPr>
      <w:r>
        <w:rPr>
          <w:rFonts w:ascii="Cambria" w:hAnsi="Cambria"/>
          <w:b w:val="0"/>
          <w:i w:val="0"/>
          <w:color w:val="000000"/>
          <w:sz w:val="20"/>
        </w:rPr>
        <w:t>Maintain deputy and coverage arrangements for critical responsibilities.</w:t>
      </w:r>
    </w:p>
    <w:p>
      <w:pPr>
        <w:pStyle w:val="ListBullet"/>
        <w:spacing w:after="40"/>
        <w:ind w:left="283" w:hanging="142"/>
      </w:pPr>
      <w:r>
        <w:rPr>
          <w:rFonts w:ascii="Cambria" w:hAnsi="Cambria"/>
          <w:b w:val="0"/>
          <w:i w:val="0"/>
          <w:color w:val="000000"/>
          <w:sz w:val="20"/>
        </w:rPr>
        <w:t>Review competence after significant method, equipment, LIS or role changes and when performance signals indicate a need.</w:t>
      </w:r>
    </w:p>
    <w:p>
      <w:pPr>
        <w:pStyle w:val="Heading1"/>
        <w:spacing w:before="140" w:after="80"/>
        <w:keepNext/>
      </w:pPr>
      <w:r>
        <w:t>7. Technical Process Control</w:t>
      </w:r>
    </w:p>
    <w:p>
      <w:pPr>
        <w:pStyle w:val="Heading2"/>
        <w:spacing w:before="80" w:after="80"/>
        <w:keepNext/>
      </w:pPr>
      <w:r>
        <w:t>7.1 Pre-examination</w:t>
      </w:r>
    </w:p>
    <w:p>
      <w:pPr>
        <w:pStyle w:val="ListBullet"/>
        <w:spacing w:after="40"/>
        <w:ind w:left="283" w:hanging="142"/>
      </w:pPr>
      <w:r>
        <w:rPr>
          <w:rFonts w:ascii="Cambria" w:hAnsi="Cambria"/>
          <w:b w:val="0"/>
          <w:i w:val="0"/>
          <w:color w:val="000000"/>
          <w:sz w:val="20"/>
        </w:rPr>
        <w:t>Control examination requests, patient identification, preparation, specimen type, collection, labelling, transport and time/temperature conditions.</w:t>
      </w:r>
    </w:p>
    <w:p>
      <w:pPr>
        <w:pStyle w:val="ListBullet"/>
        <w:spacing w:after="40"/>
        <w:ind w:left="283" w:hanging="142"/>
      </w:pPr>
      <w:r>
        <w:rPr>
          <w:rFonts w:ascii="Cambria" w:hAnsi="Cambria"/>
          <w:b w:val="0"/>
          <w:i w:val="0"/>
          <w:color w:val="000000"/>
          <w:sz w:val="20"/>
        </w:rPr>
        <w:t>Define sample acceptance/rejection criteria and controlled exceptions so clinically important situations are escalated rather than handled informally.</w:t>
      </w:r>
    </w:p>
    <w:p>
      <w:pPr>
        <w:pStyle w:val="ListBullet"/>
        <w:spacing w:after="40"/>
        <w:ind w:left="283" w:hanging="142"/>
      </w:pPr>
      <w:r>
        <w:rPr>
          <w:rFonts w:ascii="Cambria" w:hAnsi="Cambria"/>
          <w:b w:val="0"/>
          <w:i w:val="0"/>
          <w:color w:val="000000"/>
          <w:sz w:val="20"/>
        </w:rPr>
        <w:t>Monitor specimen quality indicators such as rejection, recollection or transport deviations where useful.</w:t>
      </w:r>
    </w:p>
    <w:p>
      <w:pPr>
        <w:pStyle w:val="Heading2"/>
        <w:spacing w:before="80" w:after="80"/>
        <w:keepNext/>
      </w:pPr>
      <w:r>
        <w:t>7.2 Examination</w:t>
      </w:r>
    </w:p>
    <w:p>
      <w:pPr>
        <w:pStyle w:val="ListBullet"/>
        <w:spacing w:after="40"/>
        <w:ind w:left="283" w:hanging="142"/>
      </w:pPr>
      <w:r>
        <w:rPr>
          <w:rFonts w:ascii="Cambria" w:hAnsi="Cambria"/>
          <w:b w:val="0"/>
          <w:i w:val="0"/>
          <w:color w:val="000000"/>
          <w:sz w:val="20"/>
        </w:rPr>
        <w:t>Before routine use, confirm examination procedures are fit for intended use through appropriate verification or validation.</w:t>
      </w:r>
    </w:p>
    <w:p>
      <w:pPr>
        <w:pStyle w:val="ListBullet"/>
        <w:spacing w:after="40"/>
        <w:ind w:left="283" w:hanging="142"/>
      </w:pPr>
      <w:r>
        <w:rPr>
          <w:rFonts w:ascii="Cambria" w:hAnsi="Cambria"/>
          <w:b w:val="0"/>
          <w:i w:val="0"/>
          <w:color w:val="000000"/>
          <w:sz w:val="20"/>
        </w:rPr>
        <w:t>Control SOPs, instrument setup, reagents, calculations, reference intervals/decision limits and technical review criteria.</w:t>
      </w:r>
    </w:p>
    <w:p>
      <w:pPr>
        <w:pStyle w:val="ListBullet"/>
        <w:spacing w:after="40"/>
        <w:ind w:left="283" w:hanging="142"/>
      </w:pPr>
      <w:r>
        <w:rPr>
          <w:rFonts w:ascii="Cambria" w:hAnsi="Cambria"/>
          <w:b w:val="0"/>
          <w:i w:val="0"/>
          <w:color w:val="000000"/>
          <w:sz w:val="20"/>
        </w:rPr>
        <w:t>Use IQC and EQA/PT as complementary controls; investigate failures for patient impact and systemic causes.</w:t>
      </w:r>
    </w:p>
    <w:p>
      <w:pPr>
        <w:pStyle w:val="Heading2"/>
        <w:spacing w:before="80" w:after="80"/>
        <w:keepNext/>
      </w:pPr>
      <w:r>
        <w:t>7.3 Post-examination</w:t>
      </w:r>
    </w:p>
    <w:p>
      <w:pPr>
        <w:pStyle w:val="ListBullet"/>
        <w:spacing w:after="40"/>
        <w:ind w:left="283" w:hanging="142"/>
      </w:pPr>
      <w:r>
        <w:rPr>
          <w:rFonts w:ascii="Cambria" w:hAnsi="Cambria"/>
          <w:b w:val="0"/>
          <w:i w:val="0"/>
          <w:color w:val="000000"/>
          <w:sz w:val="20"/>
        </w:rPr>
        <w:t>Define who is authorized to review and release results and how automated authorization is governed where used.</w:t>
      </w:r>
    </w:p>
    <w:p>
      <w:pPr>
        <w:pStyle w:val="ListBullet"/>
        <w:spacing w:after="40"/>
        <w:ind w:left="283" w:hanging="142"/>
      </w:pPr>
      <w:r>
        <w:rPr>
          <w:rFonts w:ascii="Cambria" w:hAnsi="Cambria"/>
          <w:b w:val="0"/>
          <w:i w:val="0"/>
          <w:color w:val="000000"/>
          <w:sz w:val="20"/>
        </w:rPr>
        <w:t>Control report content, critical result communication, amended reports and retained sample disposition.</w:t>
      </w:r>
    </w:p>
    <w:p>
      <w:pPr>
        <w:pStyle w:val="ListBullet"/>
        <w:spacing w:after="40"/>
        <w:ind w:left="283" w:hanging="142"/>
      </w:pPr>
      <w:r>
        <w:rPr>
          <w:rFonts w:ascii="Cambria" w:hAnsi="Cambria"/>
          <w:b w:val="0"/>
          <w:i w:val="0"/>
          <w:color w:val="000000"/>
          <w:sz w:val="20"/>
        </w:rPr>
        <w:t>Protect result confidentiality and maintain traceability of changes and communication.</w:t>
      </w:r>
    </w:p>
    <w:p>
      <w:pPr>
        <w:pStyle w:val="Heading1"/>
        <w:spacing w:before="140" w:after="80"/>
        <w:keepNext/>
      </w:pPr>
      <w:r>
        <w:t>8. Risk-Based Management</w:t>
      </w:r>
    </w:p>
    <w:p>
      <w:pPr>
        <w:spacing w:after="80" w:line="259" w:lineRule="auto"/>
      </w:pPr>
      <w:r>
        <w:rPr>
          <w:rFonts w:ascii="Cambria" w:hAnsi="Cambria"/>
          <w:b w:val="0"/>
          <w:i w:val="0"/>
          <w:color w:val="000000"/>
          <w:sz w:val="21"/>
        </w:rPr>
        <w:t>Risk-based thinking should be integrated into everyday decisions. High-consequence processes such as patient identification, specimen integrity, critical result communication, transfusion-related testing, molecular contamination control, LIS interfaces or major equipment changes normally require stronger controls and evidence than low-consequence administrative activities.</w:t>
      </w:r>
    </w:p>
    <w:p>
      <w:pPr>
        <w:pStyle w:val="ListBullet"/>
        <w:spacing w:after="40"/>
        <w:ind w:left="283" w:hanging="142"/>
      </w:pPr>
      <w:r>
        <w:rPr>
          <w:rFonts w:ascii="Cambria" w:hAnsi="Cambria"/>
          <w:b w:val="0"/>
          <w:i w:val="0"/>
          <w:color w:val="000000"/>
          <w:sz w:val="20"/>
        </w:rPr>
        <w:t>Identify what can cause harm or invalidate results.</w:t>
      </w:r>
    </w:p>
    <w:p>
      <w:pPr>
        <w:pStyle w:val="ListBullet"/>
        <w:spacing w:after="40"/>
        <w:ind w:left="283" w:hanging="142"/>
      </w:pPr>
      <w:r>
        <w:rPr>
          <w:rFonts w:ascii="Cambria" w:hAnsi="Cambria"/>
          <w:b w:val="0"/>
          <w:i w:val="0"/>
          <w:color w:val="000000"/>
          <w:sz w:val="20"/>
        </w:rPr>
        <w:t>Evaluate existing controls and residual risk using a consistent laboratory method.</w:t>
      </w:r>
    </w:p>
    <w:p>
      <w:pPr>
        <w:pStyle w:val="ListBullet"/>
        <w:spacing w:after="40"/>
        <w:ind w:left="283" w:hanging="142"/>
      </w:pPr>
      <w:r>
        <w:rPr>
          <w:rFonts w:ascii="Cambria" w:hAnsi="Cambria"/>
          <w:b w:val="0"/>
          <w:i w:val="0"/>
          <w:color w:val="000000"/>
          <w:sz w:val="20"/>
        </w:rPr>
        <w:t>Prioritize controls that prevent error before it reaches the patient or clinician.</w:t>
      </w:r>
    </w:p>
    <w:p>
      <w:pPr>
        <w:pStyle w:val="ListBullet"/>
        <w:spacing w:after="40"/>
        <w:ind w:left="283" w:hanging="142"/>
      </w:pPr>
      <w:r>
        <w:rPr>
          <w:rFonts w:ascii="Cambria" w:hAnsi="Cambria"/>
          <w:b w:val="0"/>
          <w:i w:val="0"/>
          <w:color w:val="000000"/>
          <w:sz w:val="20"/>
        </w:rPr>
        <w:t>Monitor whether risk controls continue to work and reassess after significant change or adverse events.</w:t>
      </w:r>
    </w:p>
    <w:p>
      <w:pPr>
        <w:pStyle w:val="Heading1"/>
        <w:spacing w:before="140" w:after="80"/>
        <w:keepNext/>
      </w:pPr>
      <w:r>
        <w:t>9. Performance Evaluation and Improvement</w:t>
      </w:r>
    </w:p>
    <w:tbl>
      <w:tblPr>
        <w:tblStyle w:val="TableGrid"/>
        <w:tblW w:type="auto" w:w="0"/>
        <w:jc w:val="center"/>
        <w:tblLook w:val="04A0"/>
      </w:tblPr>
      <w:tblGrid>
        <w:gridCol w:w="4677"/>
        <w:gridCol w:w="4677"/>
      </w:tblGrid>
      <w:tr>
        <w:trPr>
          <w:tblHeader w:val="true"/>
          <w:cantSplit/>
        </w:trPr>
        <w:tc>
          <w:tcPr>
            <w:tcW w:type="dxa" w:w="3118"/>
            <w:vAlign w:val="center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D9EAF7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/>
                <w:i w:val="0"/>
                <w:color w:val="000000"/>
                <w:sz w:val="17"/>
              </w:rPr>
              <w:t>Mechanism</w:t>
            </w:r>
          </w:p>
        </w:tc>
        <w:tc>
          <w:tcPr>
            <w:tcW w:type="dxa" w:w="7370"/>
            <w:vAlign w:val="center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D9EAF7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/>
                <w:i w:val="0"/>
                <w:color w:val="000000"/>
                <w:sz w:val="17"/>
              </w:rPr>
              <w:t>What it should achieve</w:t>
            </w:r>
          </w:p>
        </w:tc>
      </w:tr>
      <w:tr>
        <w:trPr>
          <w:cantSplit/>
        </w:trPr>
        <w:tc>
          <w:tcPr>
            <w:tcW w:type="dxa" w:w="3118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  <w:t>Quality indicators</w:t>
            </w:r>
          </w:p>
        </w:tc>
        <w:tc>
          <w:tcPr>
            <w:tcW w:type="dxa" w:w="7370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  <w:t>Show whether priority processes are stable, timely and improving.</w:t>
            </w:r>
          </w:p>
        </w:tc>
      </w:tr>
      <w:tr>
        <w:trPr>
          <w:cantSplit/>
        </w:trPr>
        <w:tc>
          <w:tcPr>
            <w:tcW w:type="dxa" w:w="3118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FAFCFD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  <w:t>QC/EQA review</w:t>
            </w:r>
          </w:p>
        </w:tc>
        <w:tc>
          <w:tcPr>
            <w:tcW w:type="dxa" w:w="7370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FAFCFD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  <w:t>Demonstrate analytical control and identify technical performance trends.</w:t>
            </w:r>
          </w:p>
        </w:tc>
      </w:tr>
      <w:tr>
        <w:trPr>
          <w:cantSplit/>
        </w:trPr>
        <w:tc>
          <w:tcPr>
            <w:tcW w:type="dxa" w:w="3118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  <w:t>Complaints and feedback</w:t>
            </w:r>
          </w:p>
        </w:tc>
        <w:tc>
          <w:tcPr>
            <w:tcW w:type="dxa" w:w="7370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  <w:t>Reveal service failures and user expectations.</w:t>
            </w:r>
          </w:p>
        </w:tc>
      </w:tr>
      <w:tr>
        <w:trPr>
          <w:cantSplit/>
        </w:trPr>
        <w:tc>
          <w:tcPr>
            <w:tcW w:type="dxa" w:w="3118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FAFCFD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  <w:t>Nonconformity/CAPA</w:t>
            </w:r>
          </w:p>
        </w:tc>
        <w:tc>
          <w:tcPr>
            <w:tcW w:type="dxa" w:w="7370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FAFCFD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  <w:t>Correct immediate problems, address causes and verify effectiveness.</w:t>
            </w:r>
          </w:p>
        </w:tc>
      </w:tr>
      <w:tr>
        <w:trPr>
          <w:cantSplit/>
        </w:trPr>
        <w:tc>
          <w:tcPr>
            <w:tcW w:type="dxa" w:w="3118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  <w:t>Internal audit</w:t>
            </w:r>
          </w:p>
        </w:tc>
        <w:tc>
          <w:tcPr>
            <w:tcW w:type="dxa" w:w="7370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  <w:t>Provide independent assurance across management and technical processes.</w:t>
            </w:r>
          </w:p>
        </w:tc>
      </w:tr>
      <w:tr>
        <w:trPr>
          <w:cantSplit/>
        </w:trPr>
        <w:tc>
          <w:tcPr>
            <w:tcW w:type="dxa" w:w="3118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FAFCFD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  <w:t>Management review</w:t>
            </w:r>
          </w:p>
        </w:tc>
        <w:tc>
          <w:tcPr>
            <w:tcW w:type="dxa" w:w="7370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FAFCFD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  <w:t>Convert evidence into strategic decisions, resources and improvement priorities.</w:t>
            </w:r>
          </w:p>
        </w:tc>
      </w:tr>
    </w:tbl>
    <w:p>
      <w:pPr>
        <w:spacing w:after="40"/>
      </w:pPr>
    </w:p>
    <w:p>
      <w:pPr>
        <w:pStyle w:val="Heading1"/>
        <w:spacing w:before="140" w:after="80"/>
        <w:keepNext/>
      </w:pPr>
      <w:r>
        <w:t>10. Accreditation Readiness</w:t>
      </w:r>
    </w:p>
    <w:p>
      <w:pPr>
        <w:pStyle w:val="ListBullet"/>
        <w:spacing w:after="40"/>
        <w:ind w:left="283" w:hanging="142"/>
      </w:pPr>
      <w:r>
        <w:rPr>
          <w:rFonts w:ascii="Cambria" w:hAnsi="Cambria"/>
          <w:b w:val="0"/>
          <w:i w:val="0"/>
          <w:color w:val="000000"/>
          <w:sz w:val="20"/>
        </w:rPr>
        <w:t>Use evidence sampling: select a patient episode or examination and trace it from request through sample, examination, review, report and retained records.</w:t>
      </w:r>
    </w:p>
    <w:p>
      <w:pPr>
        <w:pStyle w:val="ListBullet"/>
        <w:spacing w:after="40"/>
        <w:ind w:left="283" w:hanging="142"/>
      </w:pPr>
      <w:r>
        <w:rPr>
          <w:rFonts w:ascii="Cambria" w:hAnsi="Cambria"/>
          <w:b w:val="0"/>
          <w:i w:val="0"/>
          <w:color w:val="000000"/>
          <w:sz w:val="20"/>
        </w:rPr>
        <w:t>Ensure staff can explain their responsibilities and demonstrate actual practice, not only point to procedures.</w:t>
      </w:r>
    </w:p>
    <w:p>
      <w:pPr>
        <w:pStyle w:val="ListBullet"/>
        <w:spacing w:after="40"/>
        <w:ind w:left="283" w:hanging="142"/>
      </w:pPr>
      <w:r>
        <w:rPr>
          <w:rFonts w:ascii="Cambria" w:hAnsi="Cambria"/>
          <w:b w:val="0"/>
          <w:i w:val="0"/>
          <w:color w:val="000000"/>
          <w:sz w:val="20"/>
        </w:rPr>
        <w:t>Confirm internal audit has covered both management-system and technical activities.</w:t>
      </w:r>
    </w:p>
    <w:p>
      <w:pPr>
        <w:pStyle w:val="ListBullet"/>
        <w:spacing w:after="40"/>
        <w:ind w:left="283" w:hanging="142"/>
      </w:pPr>
      <w:r>
        <w:rPr>
          <w:rFonts w:ascii="Cambria" w:hAnsi="Cambria"/>
          <w:b w:val="0"/>
          <w:i w:val="0"/>
          <w:color w:val="000000"/>
          <w:sz w:val="20"/>
        </w:rPr>
        <w:t>Confirm management review has evaluated trends, risks, resources and improvement, with actions followed to closure.</w:t>
      </w:r>
    </w:p>
    <w:p>
      <w:pPr>
        <w:pStyle w:val="ListBullet"/>
        <w:spacing w:after="40"/>
        <w:ind w:left="283" w:hanging="142"/>
      </w:pPr>
      <w:r>
        <w:rPr>
          <w:rFonts w:ascii="Cambria" w:hAnsi="Cambria"/>
          <w:b w:val="0"/>
          <w:i w:val="0"/>
          <w:color w:val="000000"/>
          <w:sz w:val="20"/>
        </w:rPr>
        <w:t>Prepare evidence indexes for complex technical files, but avoid staging artificial records that are not part of routine operation.</w:t>
      </w:r>
    </w:p>
    <w:p>
      <w:pPr>
        <w:pStyle w:val="Heading1"/>
        <w:spacing w:before="140" w:after="80"/>
        <w:keepNext/>
      </w:pPr>
      <w:r>
        <w:t>References</w:t>
      </w:r>
    </w:p>
    <w:tbl>
      <w:tblPr>
        <w:tblStyle w:val="TableGrid"/>
        <w:tblW w:type="auto" w:w="0"/>
        <w:jc w:val="center"/>
        <w:tblLook w:val="04A0"/>
      </w:tblPr>
      <w:tblGrid>
        <w:gridCol w:w="3118"/>
        <w:gridCol w:w="3118"/>
        <w:gridCol w:w="3118"/>
      </w:tblGrid>
      <w:tr>
        <w:trPr>
          <w:tblHeader w:val="true"/>
          <w:cantSplit/>
        </w:trPr>
        <w:tc>
          <w:tcPr>
            <w:tcW w:type="dxa" w:w="1928"/>
            <w:vAlign w:val="center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D9EAF7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/>
                <w:i w:val="0"/>
                <w:color w:val="000000"/>
                <w:sz w:val="16"/>
              </w:rPr>
              <w:t>Reference</w:t>
            </w:r>
          </w:p>
        </w:tc>
        <w:tc>
          <w:tcPr>
            <w:tcW w:type="dxa" w:w="5216"/>
            <w:vAlign w:val="center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D9EAF7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/>
                <w:i w:val="0"/>
                <w:color w:val="000000"/>
                <w:sz w:val="16"/>
              </w:rPr>
              <w:t>Title</w:t>
            </w:r>
          </w:p>
        </w:tc>
        <w:tc>
          <w:tcPr>
            <w:tcW w:type="dxa" w:w="3515"/>
            <w:vAlign w:val="center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D9EAF7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/>
                <w:i w:val="0"/>
                <w:color w:val="000000"/>
                <w:sz w:val="16"/>
              </w:rPr>
              <w:t>Official source</w:t>
            </w:r>
          </w:p>
        </w:tc>
      </w:tr>
      <w:tr>
        <w:trPr>
          <w:cantSplit/>
        </w:trPr>
        <w:tc>
          <w:tcPr>
            <w:tcW w:type="dxa" w:w="1928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6"/>
              </w:rPr>
              <w:t>ISO 15189:2022</w:t>
            </w:r>
          </w:p>
        </w:tc>
        <w:tc>
          <w:tcPr>
            <w:tcW w:type="dxa" w:w="5216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6"/>
              </w:rPr>
              <w:t>Medical laboratories — Requirements for quality and competence</w:t>
            </w:r>
          </w:p>
        </w:tc>
        <w:tc>
          <w:tcPr>
            <w:tcW w:type="dxa" w:w="3515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6"/>
              </w:rPr>
              <w:t>https://www.iso.org/standard/76677.html</w:t>
            </w:r>
          </w:p>
        </w:tc>
      </w:tr>
      <w:tr>
        <w:trPr>
          <w:cantSplit/>
        </w:trPr>
        <w:tc>
          <w:tcPr>
            <w:tcW w:type="dxa" w:w="1928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FAFCFD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6"/>
              </w:rPr>
              <w:t>ISO 20658:2023</w:t>
            </w:r>
          </w:p>
        </w:tc>
        <w:tc>
          <w:tcPr>
            <w:tcW w:type="dxa" w:w="5216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FAFCFD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6"/>
              </w:rPr>
              <w:t>Requirements for the collection and transport of samples for medical laboratory examinations</w:t>
            </w:r>
          </w:p>
        </w:tc>
        <w:tc>
          <w:tcPr>
            <w:tcW w:type="dxa" w:w="3515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FAFCFD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6"/>
              </w:rPr>
              <w:t>https://www.iso.org/standard/80035.html</w:t>
            </w:r>
          </w:p>
        </w:tc>
      </w:tr>
      <w:tr>
        <w:trPr>
          <w:cantSplit/>
        </w:trPr>
        <w:tc>
          <w:tcPr>
            <w:tcW w:type="dxa" w:w="1928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6"/>
              </w:rPr>
              <w:t>ISO 22367:2026</w:t>
            </w:r>
          </w:p>
        </w:tc>
        <w:tc>
          <w:tcPr>
            <w:tcW w:type="dxa" w:w="5216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6"/>
              </w:rPr>
              <w:t>Medical laboratories — Application of risk management to medical laboratories</w:t>
            </w:r>
          </w:p>
        </w:tc>
        <w:tc>
          <w:tcPr>
            <w:tcW w:type="dxa" w:w="3515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6"/>
              </w:rPr>
              <w:t>https://www.iso.org/standard/87738.html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ook w:val="04A0"/>
      </w:tblPr>
      <w:tblGrid>
        <w:gridCol w:w="9355"/>
      </w:tblGrid>
      <w:tr>
        <w:trPr>
          <w:cantSplit/>
        </w:trPr>
        <w:tc>
          <w:tcPr>
            <w:tcW w:type="dxa" w:w="9355"/>
            <w:tcBorders>
              <w:top w:val="single" w:sz="4" w:space="0" w:color="D6B656"/>
              <w:left w:val="single" w:sz="4" w:space="0" w:color="D6B656"/>
              <w:bottom w:val="single" w:sz="4" w:space="0" w:color="D6B656"/>
              <w:right w:val="single" w:sz="4" w:space="0" w:color="D6B656"/>
              <w:insideH w:val="single" w:sz="4" w:space="0" w:color="D6B656"/>
              <w:insideV w:val="single" w:sz="4" w:space="0" w:color="D6B656"/>
            </w:tcBorders>
            <w:shd w:fill="FFF2CC" w:val="clear"/>
            <w:tcMar>
              <w:top w:w="80" w:type="dxa"/>
              <w:left w:w="110" w:type="dxa"/>
              <w:bottom w:w="8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Cambria" w:hAnsi="Cambria"/>
                <w:b w:val="0"/>
                <w:i/>
                <w:color w:val="C00000"/>
                <w:sz w:val="18"/>
              </w:rPr>
              <w:t>[Note] Use the organization’s authorized copy of the applicable standard as the definitive reference. This document paraphrases requirements and does not reproduce the standard text.</w:t>
            </w:r>
          </w:p>
        </w:tc>
      </w:tr>
    </w:tbl>
    <w:p>
      <w:pPr>
        <w:spacing w:after="20"/>
      </w:pPr>
    </w:p>
    <w:p>
      <w:pPr>
        <w:pStyle w:val="Heading1"/>
        <w:spacing w:before="140" w:after="80"/>
        <w:keepNext/>
      </w:pPr>
      <w:r>
        <w:t>Revision and Approval</w:t>
      </w:r>
    </w:p>
    <w:tbl>
      <w:tblPr>
        <w:tblStyle w:val="TableGrid"/>
        <w:tblW w:type="auto" w:w="0"/>
        <w:jc w:val="center"/>
        <w:tblLook w:val="04A0"/>
      </w:tblPr>
      <w:tblGrid>
        <w:gridCol w:w="2339"/>
        <w:gridCol w:w="2339"/>
        <w:gridCol w:w="2339"/>
        <w:gridCol w:w="2339"/>
      </w:tblGrid>
      <w:tr>
        <w:trPr>
          <w:tblHeader w:val="true"/>
          <w:cantSplit/>
        </w:trPr>
        <w:tc>
          <w:tcPr>
            <w:tcW w:type="dxa" w:w="2339"/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D9EAF7" w:val="clear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Cambria" w:hAnsi="Cambria"/>
                <w:b/>
                <w:i w:val="0"/>
                <w:color w:val="000000"/>
                <w:sz w:val="17"/>
              </w:rPr>
              <w:t>Version</w:t>
            </w:r>
          </w:p>
        </w:tc>
        <w:tc>
          <w:tcPr>
            <w:tcW w:type="dxa" w:w="2339"/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D9EAF7" w:val="clear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Cambria" w:hAnsi="Cambria"/>
                <w:b/>
                <w:i w:val="0"/>
                <w:color w:val="000000"/>
                <w:sz w:val="17"/>
              </w:rPr>
              <w:t>Date</w:t>
            </w:r>
          </w:p>
        </w:tc>
        <w:tc>
          <w:tcPr>
            <w:tcW w:type="dxa" w:w="2339"/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D9EAF7" w:val="clear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Cambria" w:hAnsi="Cambria"/>
                <w:b/>
                <w:i w:val="0"/>
                <w:color w:val="000000"/>
                <w:sz w:val="17"/>
              </w:rPr>
              <w:t>Description</w:t>
            </w:r>
          </w:p>
        </w:tc>
        <w:tc>
          <w:tcPr>
            <w:tcW w:type="dxa" w:w="2339"/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D9EAF7" w:val="clear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Cambria" w:hAnsi="Cambria"/>
                <w:b/>
                <w:i w:val="0"/>
                <w:color w:val="000000"/>
                <w:sz w:val="17"/>
              </w:rPr>
              <w:t>Approval Status</w:t>
            </w:r>
          </w:p>
        </w:tc>
      </w:tr>
      <w:tr>
        <w:trPr>
          <w:cantSplit/>
        </w:trPr>
        <w:tc>
          <w:tcPr>
            <w:tcW w:type="dxa" w:w="2339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  <w:t>1.0</w:t>
            </w:r>
          </w:p>
        </w:tc>
        <w:tc>
          <w:tcPr>
            <w:tcW w:type="dxa" w:w="2339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  <w:t>2026-09-19</w:t>
            </w:r>
          </w:p>
        </w:tc>
        <w:tc>
          <w:tcPr>
            <w:tcW w:type="dxa" w:w="2339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  <w:t>Initial issue</w:t>
            </w:r>
          </w:p>
        </w:tc>
        <w:tc>
          <w:tcPr>
            <w:tcW w:type="dxa" w:w="2339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  <w:t>Approved / [STATUS]</w:t>
            </w:r>
          </w:p>
        </w:tc>
      </w:tr>
      <w:tr>
        <w:trPr>
          <w:cantSplit/>
        </w:trPr>
        <w:tc>
          <w:tcPr>
            <w:tcW w:type="dxa" w:w="2339"/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FAFCFD" w:val="clear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  <w:t>Prepared by</w:t>
            </w:r>
          </w:p>
        </w:tc>
        <w:tc>
          <w:tcPr>
            <w:tcW w:type="dxa" w:w="2339"/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FAFCFD" w:val="clear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  <w:t>Reviewed by</w:t>
            </w:r>
          </w:p>
        </w:tc>
        <w:tc>
          <w:tcPr>
            <w:tcW w:type="dxa" w:w="2339"/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FAFCFD" w:val="clear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  <w:t>Approved by</w:t>
            </w:r>
          </w:p>
        </w:tc>
        <w:tc>
          <w:tcPr>
            <w:tcW w:type="dxa" w:w="2339"/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FAFCFD" w:val="clear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  <w:t>Approval Date</w:t>
            </w:r>
          </w:p>
        </w:tc>
      </w:tr>
      <w:tr>
        <w:trPr>
          <w:cantSplit/>
        </w:trPr>
        <w:tc>
          <w:tcPr>
            <w:tcW w:type="dxa" w:w="2339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  <w:t>[DOCUMENT OWNER]</w:t>
            </w:r>
          </w:p>
        </w:tc>
        <w:tc>
          <w:tcPr>
            <w:tcW w:type="dxa" w:w="2339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  <w:t>[REVIEWER]</w:t>
            </w:r>
          </w:p>
        </w:tc>
        <w:tc>
          <w:tcPr>
            <w:tcW w:type="dxa" w:w="2339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  <w:t>[APPROVER]</w:t>
            </w:r>
          </w:p>
        </w:tc>
        <w:tc>
          <w:tcPr>
            <w:tcW w:type="dxa" w:w="2339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  <w:t>[DATE]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134" w:left="1417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>
  <w:p>
    <w:pPr>
      <w:pStyle w:val="Footer"/>
      <w:jc w:val="center"/>
    </w:pPr>
    <w:r>
      <w:rPr>
        <w:rFonts w:ascii="Cambria" w:hAnsi="Cambria"/>
        <w:b w:val="0"/>
        <w:i w:val="0"/>
        <w:color w:val="666666"/>
        <w:sz w:val="16"/>
      </w:rPr>
      <w:t>ISO TOOLKITS DOCUMENT | www.iso-toolkits.org | info@iso-toolkits.org | INTERNAL</w:t>
    </w:r>
  </w:p>
  <w:p>
    <w:pPr>
      <w:jc w:val="center"/>
    </w:pPr>
    <w:r>
      <w:rPr>
        <w:rFonts w:ascii="Cambria" w:hAnsi="Cambria"/>
        <w:color w:val="666666"/>
        <w:sz w:val="16"/>
      </w:rPr>
      <w:t xml:space="preserve">Page </w:t>
    </w:r>
    <w: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>
  <w:p>
    <w:pPr>
      <w:pStyle w:val="Header"/>
    </w:pPr>
  </w:p>
  <w:tbl>
    <w:tblPr>
      <w:tblW w:type="auto" w:w="0"/>
      <w:jc w:val="center"/>
      <w:tblLook w:val="04A0"/>
    </w:tblPr>
    <w:tblGrid>
      <w:gridCol w:w="3118"/>
      <w:gridCol w:w="3118"/>
      <w:gridCol w:w="3118"/>
    </w:tblGrid>
    <w:tr>
      <w:tc>
        <w:tcPr>
          <w:tcW w:type="dxa" w:w="1587"/>
          <w:tcBorders>
            <w:top w:val="single" w:sz="4" w:space="0" w:color="B7C9D6"/>
            <w:left w:val="single" w:sz="4" w:space="0" w:color="B7C9D6"/>
            <w:bottom w:val="single" w:sz="4" w:space="0" w:color="B7C9D6"/>
            <w:right w:val="single" w:sz="4" w:space="0" w:color="B7C9D6"/>
            <w:insideH w:val="single" w:sz="4" w:space="0" w:color="B7C9D6"/>
            <w:insideV w:val="single" w:sz="4" w:space="0" w:color="B7C9D6"/>
          </w:tcBorders>
          <w:tcMar>
            <w:top w:w="40" w:type="dxa"/>
            <w:left w:w="50" w:type="dxa"/>
            <w:bottom w:w="40" w:type="dxa"/>
            <w:right w:w="50" w:type="dxa"/>
          </w:tcMar>
        </w:tcPr>
        <w:p>
          <w:pPr>
            <w:jc w:val="center"/>
          </w:pPr>
          <w:r>
            <w:rPr>
              <w:rFonts w:ascii="Cambria" w:hAnsi="Cambria"/>
              <w:b w:val="0"/>
              <w:i w:val="0"/>
              <w:color w:val="000000"/>
              <w:sz w:val="16"/>
            </w:rPr>
            <w:t>ORGANIZATION</w:t>
            <w:br/>
            <w:t>LOGO</w:t>
          </w:r>
        </w:p>
      </w:tc>
      <w:tc>
        <w:tcPr>
          <w:tcW w:type="dxa" w:w="4535"/>
          <w:tcBorders>
            <w:top w:val="single" w:sz="4" w:space="0" w:color="B7C9D6"/>
            <w:left w:val="single" w:sz="4" w:space="0" w:color="B7C9D6"/>
            <w:bottom w:val="single" w:sz="4" w:space="0" w:color="B7C9D6"/>
            <w:right w:val="single" w:sz="4" w:space="0" w:color="B7C9D6"/>
            <w:insideH w:val="single" w:sz="4" w:space="0" w:color="B7C9D6"/>
            <w:insideV w:val="single" w:sz="4" w:space="0" w:color="B7C9D6"/>
          </w:tcBorders>
          <w:shd w:fill="EAF3F8" w:val="clear"/>
          <w:tcMar>
            <w:top w:w="40" w:type="dxa"/>
            <w:left w:w="50" w:type="dxa"/>
            <w:bottom w:w="40" w:type="dxa"/>
            <w:right w:w="50" w:type="dxa"/>
          </w:tcMar>
        </w:tcPr>
        <w:p>
          <w:pPr>
            <w:jc w:val="center"/>
          </w:pPr>
          <w:r>
            <w:rPr>
              <w:rFonts w:ascii="Cambria" w:hAnsi="Cambria"/>
              <w:b/>
              <w:i w:val="0"/>
              <w:color w:val="1F4E79"/>
              <w:sz w:val="16"/>
            </w:rPr>
            <w:t>[ORGANIZATION NAME]</w:t>
            <w:br/>
            <w:t>Laboratory Quality Management System Guidance</w:t>
          </w:r>
        </w:p>
      </w:tc>
      <w:tc>
        <w:tcPr>
          <w:tcW w:type="dxa" w:w="2835"/>
          <w:tcBorders>
            <w:top w:val="single" w:sz="4" w:space="0" w:color="B7C9D6"/>
            <w:left w:val="single" w:sz="4" w:space="0" w:color="B7C9D6"/>
            <w:bottom w:val="single" w:sz="4" w:space="0" w:color="B7C9D6"/>
            <w:right w:val="single" w:sz="4" w:space="0" w:color="B7C9D6"/>
            <w:insideH w:val="single" w:sz="4" w:space="0" w:color="B7C9D6"/>
            <w:insideV w:val="single" w:sz="4" w:space="0" w:color="B7C9D6"/>
          </w:tcBorders>
          <w:tcMar>
            <w:top w:w="40" w:type="dxa"/>
            <w:left w:w="50" w:type="dxa"/>
            <w:bottom w:w="40" w:type="dxa"/>
            <w:right w:w="50" w:type="dxa"/>
          </w:tcMar>
        </w:tcPr>
        <w:p>
          <w:pPr>
            <w:jc w:val="center"/>
          </w:pPr>
          <w:r>
            <w:rPr>
              <w:rFonts w:ascii="Cambria" w:hAnsi="Cambria"/>
              <w:b w:val="0"/>
              <w:i w:val="0"/>
              <w:color w:val="000000"/>
              <w:sz w:val="16"/>
            </w:rPr>
            <w:t>LQMS-GDE-001</w:t>
            <w:br/>
            <w:t>Version 1.0</w:t>
            <w:br/>
            <w:t>2026-09-19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Cambria" w:hAnsi="Cambria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Cambria" w:hAnsi="Cambria"/>
      <w:b/>
      <w:bCs/>
      <w:color w:val="1F4E79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60"/>
      <w:outlineLvl w:val="1"/>
    </w:pPr>
    <w:rPr>
      <w:rFonts w:asciiTheme="majorHAnsi" w:eastAsiaTheme="majorEastAsia" w:hAnsiTheme="majorHAnsi" w:cstheme="majorBidi" w:ascii="Cambria" w:hAnsi="Cambria"/>
      <w:b/>
      <w:bCs/>
      <w:color w:val="1F4E79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Cambria" w:hAnsi="Cambria"/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Cambria" w:hAnsi="Cambria"/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Laboratory Quality Management System Guidance</dc:title>
  <dc:subject>ISO 15189:2022 — Medical laboratories — Requirements for quality and competence toolkit document</dc:subject>
  <dc:creator>ISO Toolkits</dc:creator>
  <cp:keywords>ISO 15189, medical laboratory, LQMS, quality, competence, accreditation</cp:keywords>
  <dc:description>Professional ISO 15189 toolkit document. Website: www.iso-toolkits.org; Email: info@iso-toolkits.org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