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800"/>
        <w:jc w:val="center"/>
      </w:pPr>
      <w:r>
        <w:rPr>
          <w:rFonts w:ascii="Cambria" w:hAnsi="Cambria"/>
          <w:b/>
          <w:i w:val="0"/>
          <w:color w:val="1F4E79"/>
          <w:sz w:val="44"/>
        </w:rPr>
        <w:t>Laboratory Quality Management Manual</w:t>
      </w:r>
    </w:p>
    <w:p>
      <w:pPr>
        <w:jc w:val="center"/>
      </w:pPr>
      <w:r>
        <w:rPr>
          <w:rFonts w:ascii="Cambria" w:hAnsi="Cambria"/>
          <w:b w:val="0"/>
          <w:i w:val="0"/>
          <w:color w:val="555555"/>
          <w:sz w:val="24"/>
        </w:rPr>
        <w:t>Management-system framework for quality and competence in medical laboratories</w:t>
      </w:r>
    </w:p>
    <w:p>
      <w:pPr>
        <w:spacing w:before="200"/>
        <w:jc w:val="center"/>
      </w:pPr>
      <w:r>
        <w:rPr>
          <w:rFonts w:ascii="Cambria" w:hAnsi="Cambria"/>
          <w:b/>
          <w:i w:val="0"/>
          <w:color w:val="1F4E79"/>
          <w:sz w:val="21"/>
        </w:rPr>
        <w:t>ISO 15189:2022 — Medical laboratories — Requirements for quality and competence</w:t>
      </w:r>
    </w:p>
    <w:tbl>
      <w:tblPr>
        <w:tblStyle w:val="TableGrid"/>
        <w:tblW w:type="auto" w:w="0"/>
        <w:jc w:val="center"/>
        <w:tblLook w:val="04A0"/>
      </w:tblPr>
      <w:tblGrid>
        <w:gridCol w:w="2339"/>
        <w:gridCol w:w="2339"/>
        <w:gridCol w:w="2339"/>
        <w:gridCol w:w="2339"/>
      </w:tblGrid>
      <w:tr>
        <w:trPr>
          <w:tblHeader w:val="true"/>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Document Code</w:t>
            </w:r>
          </w:p>
        </w:tc>
        <w:tc>
          <w:tcPr>
            <w:tcW w:type="dxa" w:w="233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LQMS-MAN-001</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Version</w:t>
            </w:r>
          </w:p>
        </w:tc>
        <w:tc>
          <w:tcPr>
            <w:tcW w:type="dxa" w:w="233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1.0</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Effective Date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2026-09-19</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Classification</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INTERNAL</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Document Owner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[DOCUMENT OWNER]</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Approver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[APPROVER]</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Organization</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[ORGANIZATION NAME]</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Review Cycle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[ANNUAL / UPON CHANGE]</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Website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www.iso-toolkits.org</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Email</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info@iso-toolkits.org</w:t>
            </w:r>
          </w:p>
        </w:tc>
      </w:tr>
    </w:tbl>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Replace organization-specific placeholders and confirm applicable statutory, regulatory, accreditation and payer requirements before controlled release.</w:t>
            </w:r>
          </w:p>
        </w:tc>
      </w:tr>
    </w:tbl>
    <w:p>
      <w:pPr>
        <w:spacing w:after="20"/>
      </w:pPr>
    </w:p>
    <w:p>
      <w:r>
        <w:br w:type="page"/>
      </w:r>
    </w:p>
    <w:p>
      <w:pPr>
        <w:pStyle w:val="Heading1"/>
        <w:spacing w:before="140" w:after="80"/>
        <w:keepNext/>
      </w:pPr>
      <w:r>
        <w:t>1. Purpose</w:t>
      </w:r>
    </w:p>
    <w:p>
      <w:pPr>
        <w:spacing w:after="80" w:line="259" w:lineRule="auto"/>
      </w:pPr>
      <w:r>
        <w:rPr>
          <w:rFonts w:ascii="Cambria" w:hAnsi="Cambria"/>
          <w:b w:val="0"/>
          <w:i w:val="0"/>
          <w:color w:val="000000"/>
          <w:sz w:val="21"/>
        </w:rPr>
        <w:t>This manual defines the framework by which the laboratory governs quality, competence and reliable medical laboratory services. It describes the interaction of governance, resources, pre-examination, examination, post-examination and management-system processes and identifies the controlled documented information used to operate the system.</w:t>
      </w:r>
    </w:p>
    <w:p>
      <w:pPr>
        <w:pStyle w:val="Heading1"/>
        <w:spacing w:before="140" w:after="80"/>
        <w:keepNext/>
      </w:pPr>
      <w:r>
        <w:t>2. Scope of the LQMS</w:t>
      </w:r>
    </w:p>
    <w:p>
      <w:pPr>
        <w:spacing w:after="80" w:line="259" w:lineRule="auto"/>
      </w:pPr>
      <w:r>
        <w:rPr>
          <w:rFonts w:ascii="Cambria" w:hAnsi="Cambria"/>
          <w:b w:val="0"/>
          <w:i w:val="0"/>
          <w:color w:val="000000"/>
          <w:sz w:val="21"/>
        </w:rPr>
        <w:t>The LQMS applies to [LABORATORY NAME / SITES / DISCIPLINES / SERVICES] and includes relevant support processes and interfaces that can affect the validity, timeliness, confidentiality or clinical usability of laboratory results. Point-of-care testing is included where it falls within the laboratory’s governance responsibility.</w:t>
      </w: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Complete the scope with actual sites, examination disciplines, referral arrangements and POCT responsibilities before approval.</w:t>
            </w:r>
          </w:p>
        </w:tc>
      </w:tr>
    </w:tbl>
    <w:p>
      <w:pPr>
        <w:spacing w:after="20"/>
      </w:pPr>
    </w:p>
    <w:p>
      <w:pPr>
        <w:pStyle w:val="Heading1"/>
        <w:spacing w:before="140" w:after="80"/>
        <w:keepNext/>
      </w:pPr>
      <w:r>
        <w:t>3. Quality and Competence Commitments</w:t>
      </w:r>
    </w:p>
    <w:p>
      <w:pPr>
        <w:pStyle w:val="ListBullet"/>
        <w:spacing w:after="40"/>
        <w:ind w:left="283" w:hanging="142"/>
      </w:pPr>
      <w:r>
        <w:rPr>
          <w:rFonts w:ascii="Cambria" w:hAnsi="Cambria"/>
          <w:b w:val="0"/>
          <w:i w:val="0"/>
          <w:color w:val="000000"/>
          <w:sz w:val="20"/>
        </w:rPr>
        <w:t>Provide services that are appropriate to patient and clinical-user needs and are supported by competent personnel and fit-for-purpose methods.</w:t>
      </w:r>
    </w:p>
    <w:p>
      <w:pPr>
        <w:pStyle w:val="ListBullet"/>
        <w:spacing w:after="40"/>
        <w:ind w:left="283" w:hanging="142"/>
      </w:pPr>
      <w:r>
        <w:rPr>
          <w:rFonts w:ascii="Cambria" w:hAnsi="Cambria"/>
          <w:b w:val="0"/>
          <w:i w:val="0"/>
          <w:color w:val="000000"/>
          <w:sz w:val="20"/>
        </w:rPr>
        <w:t>Protect impartiality, professional judgement, confidentiality and the integrity of laboratory information.</w:t>
      </w:r>
    </w:p>
    <w:p>
      <w:pPr>
        <w:pStyle w:val="ListBullet"/>
        <w:spacing w:after="40"/>
        <w:ind w:left="283" w:hanging="142"/>
      </w:pPr>
      <w:r>
        <w:rPr>
          <w:rFonts w:ascii="Cambria" w:hAnsi="Cambria"/>
          <w:b w:val="0"/>
          <w:i w:val="0"/>
          <w:color w:val="000000"/>
          <w:sz w:val="20"/>
        </w:rPr>
        <w:t>Meet applicable statutory, regulatory, accreditation, contractual and professional requirements relevant to the laboratory service.</w:t>
      </w:r>
    </w:p>
    <w:p>
      <w:pPr>
        <w:pStyle w:val="ListBullet"/>
        <w:spacing w:after="40"/>
        <w:ind w:left="283" w:hanging="142"/>
      </w:pPr>
      <w:r>
        <w:rPr>
          <w:rFonts w:ascii="Cambria" w:hAnsi="Cambria"/>
          <w:b w:val="0"/>
          <w:i w:val="0"/>
          <w:color w:val="000000"/>
          <w:sz w:val="20"/>
        </w:rPr>
        <w:t>Use risk-based controls to reduce the likelihood and consequence of error throughout the examination pathway.</w:t>
      </w:r>
    </w:p>
    <w:p>
      <w:pPr>
        <w:pStyle w:val="ListBullet"/>
        <w:spacing w:after="40"/>
        <w:ind w:left="283" w:hanging="142"/>
      </w:pPr>
      <w:r>
        <w:rPr>
          <w:rFonts w:ascii="Cambria" w:hAnsi="Cambria"/>
          <w:b w:val="0"/>
          <w:i w:val="0"/>
          <w:color w:val="000000"/>
          <w:sz w:val="20"/>
        </w:rPr>
        <w:t>Monitor process performance and continually improve the effectiveness of the LQMS and the reliability of laboratory services.</w:t>
      </w:r>
    </w:p>
    <w:p>
      <w:pPr>
        <w:pStyle w:val="Heading1"/>
        <w:spacing w:before="140" w:after="80"/>
        <w:keepNext/>
      </w:pPr>
      <w:r>
        <w:t>4. Organization, Governance and Responsibility</w:t>
      </w:r>
    </w:p>
    <w:p>
      <w:pPr>
        <w:spacing w:after="80" w:line="259" w:lineRule="auto"/>
      </w:pPr>
      <w:r>
        <w:rPr>
          <w:rFonts w:ascii="Cambria" w:hAnsi="Cambria"/>
          <w:b w:val="0"/>
          <w:i w:val="0"/>
          <w:color w:val="000000"/>
          <w:sz w:val="21"/>
        </w:rPr>
        <w:t>The Laboratory Director retains overall accountability for the laboratory service and establishes authorities appropriate to the size and complexity of the organization. Responsibilities for quality management, technical management, section leadership, POCT oversight, information systems, equipment, safety and other critical functions are assigned through controlled role descriptions, authorization records and responsibility matrices.</w:t>
      </w:r>
    </w:p>
    <w:tbl>
      <w:tblPr>
        <w:tblStyle w:val="TableGrid"/>
        <w:tblW w:type="auto" w:w="0"/>
        <w:jc w:val="center"/>
        <w:tblLook w:val="04A0"/>
      </w:tblPr>
      <w:tblGrid>
        <w:gridCol w:w="4677"/>
        <w:gridCol w:w="4677"/>
      </w:tblGrid>
      <w:tr>
        <w:trPr>
          <w:tblHeader w:val="true"/>
          <w:cantSplit/>
        </w:trPr>
        <w:tc>
          <w:tcPr>
            <w:tcW w:type="dxa" w:w="311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Role</w:t>
            </w:r>
          </w:p>
        </w:tc>
        <w:tc>
          <w:tcPr>
            <w:tcW w:type="dxa" w:w="7370"/>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Core accountability</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Laboratory Director</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Overall service quality, competence, patient focus, resources, policy, management review and delegated authorities.</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Quality Manager</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LQMS coordination, documented information, risk and improvement processes, audits, indicators and management-review preparation.</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Technical Manager(s)</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Technical validity of examinations, methods, quality control, competence authorization and technical problem escalation.</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Section Heads</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Daily implementation of technical and quality controls, staff supervision and evidence maintenance.</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All Personnel</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Work within authorization, follow controlled procedures, protect confidentiality, report problems and participate in improvement.</w:t>
            </w:r>
          </w:p>
        </w:tc>
      </w:tr>
    </w:tbl>
    <w:p>
      <w:pPr>
        <w:spacing w:after="40"/>
      </w:pPr>
    </w:p>
    <w:p>
      <w:pPr>
        <w:pStyle w:val="Heading1"/>
        <w:spacing w:before="140" w:after="80"/>
        <w:keepNext/>
      </w:pPr>
      <w:r>
        <w:t>5. Impartiality, Ethics and Confidentiality</w:t>
      </w:r>
    </w:p>
    <w:p>
      <w:pPr>
        <w:pStyle w:val="ListBullet"/>
        <w:spacing w:after="40"/>
        <w:ind w:left="283" w:hanging="142"/>
      </w:pPr>
      <w:r>
        <w:rPr>
          <w:rFonts w:ascii="Cambria" w:hAnsi="Cambria"/>
          <w:b w:val="0"/>
          <w:i w:val="0"/>
          <w:color w:val="000000"/>
          <w:sz w:val="20"/>
        </w:rPr>
        <w:t>Activities are organized to protect professional judgement from commercial, financial, production or other inappropriate influence.</w:t>
      </w:r>
    </w:p>
    <w:p>
      <w:pPr>
        <w:pStyle w:val="ListBullet"/>
        <w:spacing w:after="40"/>
        <w:ind w:left="283" w:hanging="142"/>
      </w:pPr>
      <w:r>
        <w:rPr>
          <w:rFonts w:ascii="Cambria" w:hAnsi="Cambria"/>
          <w:b w:val="0"/>
          <w:i w:val="0"/>
          <w:color w:val="000000"/>
          <w:sz w:val="20"/>
        </w:rPr>
        <w:t>Conflicts of interest and threats to impartiality are identified and controlled using documented arrangements appropriate to the risk.</w:t>
      </w:r>
    </w:p>
    <w:p>
      <w:pPr>
        <w:pStyle w:val="ListBullet"/>
        <w:spacing w:after="40"/>
        <w:ind w:left="283" w:hanging="142"/>
      </w:pPr>
      <w:r>
        <w:rPr>
          <w:rFonts w:ascii="Cambria" w:hAnsi="Cambria"/>
          <w:b w:val="0"/>
          <w:i w:val="0"/>
          <w:color w:val="000000"/>
          <w:sz w:val="20"/>
        </w:rPr>
        <w:t>Patient and laboratory information is accessed only by authorized persons and is protected during collection, transmission, storage, reporting, archiving and disposal.</w:t>
      </w:r>
    </w:p>
    <w:p>
      <w:pPr>
        <w:pStyle w:val="ListBullet"/>
        <w:spacing w:after="40"/>
        <w:ind w:left="283" w:hanging="142"/>
      </w:pPr>
      <w:r>
        <w:rPr>
          <w:rFonts w:ascii="Cambria" w:hAnsi="Cambria"/>
          <w:b w:val="0"/>
          <w:i w:val="0"/>
          <w:color w:val="000000"/>
          <w:sz w:val="20"/>
        </w:rPr>
        <w:t>Disclosures required by law or authorized clinical processes are controlled and traceable.</w:t>
      </w:r>
    </w:p>
    <w:p>
      <w:pPr>
        <w:pStyle w:val="Heading1"/>
        <w:spacing w:before="140" w:after="80"/>
        <w:keepNext/>
      </w:pPr>
      <w:r>
        <w:t>6. Resources</w:t>
      </w:r>
    </w:p>
    <w:p>
      <w:pPr>
        <w:pStyle w:val="Heading2"/>
        <w:spacing w:before="80" w:after="80"/>
        <w:keepNext/>
      </w:pPr>
      <w:r>
        <w:t>6.1 Personnel</w:t>
      </w:r>
    </w:p>
    <w:p>
      <w:pPr>
        <w:spacing w:after="80" w:line="259" w:lineRule="auto"/>
      </w:pPr>
      <w:r>
        <w:rPr>
          <w:rFonts w:ascii="Cambria" w:hAnsi="Cambria"/>
          <w:b w:val="0"/>
          <w:i w:val="0"/>
          <w:color w:val="000000"/>
          <w:sz w:val="21"/>
        </w:rPr>
        <w:t>Personnel are selected, trained, assessed and authorized according to the duties they perform. Competence criteria are defined before assessment and include appropriate technical, quality, safety and information-system responsibilities. Authorization is maintained only while competence remains current and evidence is available.</w:t>
      </w:r>
    </w:p>
    <w:p>
      <w:pPr>
        <w:pStyle w:val="Heading2"/>
        <w:spacing w:before="80" w:after="80"/>
        <w:keepNext/>
      </w:pPr>
      <w:r>
        <w:t>6.2 Facilities and Environmental Conditions</w:t>
      </w:r>
    </w:p>
    <w:p>
      <w:pPr>
        <w:spacing w:after="80" w:line="259" w:lineRule="auto"/>
      </w:pPr>
      <w:r>
        <w:rPr>
          <w:rFonts w:ascii="Cambria" w:hAnsi="Cambria"/>
          <w:b w:val="0"/>
          <w:i w:val="0"/>
          <w:color w:val="000000"/>
          <w:sz w:val="21"/>
        </w:rPr>
        <w:t>Facilities are designed, maintained and monitored to protect patient safety, specimen integrity, examination quality, confidentiality and staff safety. Environmental conditions that can affect examination validity are monitored and acted upon when limits or defined conditions are not met.</w:t>
      </w:r>
    </w:p>
    <w:p>
      <w:pPr>
        <w:pStyle w:val="Heading2"/>
        <w:spacing w:before="80" w:after="80"/>
        <w:keepNext/>
      </w:pPr>
      <w:r>
        <w:t>6.3 Equipment</w:t>
      </w:r>
    </w:p>
    <w:p>
      <w:pPr>
        <w:spacing w:after="80" w:line="259" w:lineRule="auto"/>
      </w:pPr>
      <w:r>
        <w:rPr>
          <w:rFonts w:ascii="Cambria" w:hAnsi="Cambria"/>
          <w:b w:val="0"/>
          <w:i w:val="0"/>
          <w:color w:val="000000"/>
          <w:sz w:val="21"/>
        </w:rPr>
        <w:t>Equipment is selected, accepted, uniquely identified, maintained and verified or calibrated as applicable before and during use. Equipment files contain status, maintenance, service, performance and incident information sufficient to demonstrate control across the equipment lifecycle.</w:t>
      </w:r>
    </w:p>
    <w:p>
      <w:pPr>
        <w:pStyle w:val="Heading2"/>
        <w:spacing w:before="80" w:after="80"/>
        <w:keepNext/>
      </w:pPr>
      <w:r>
        <w:t>6.4 Reagents and Consumables</w:t>
      </w:r>
    </w:p>
    <w:p>
      <w:pPr>
        <w:spacing w:after="80" w:line="259" w:lineRule="auto"/>
      </w:pPr>
      <w:r>
        <w:rPr>
          <w:rFonts w:ascii="Cambria" w:hAnsi="Cambria"/>
          <w:b w:val="0"/>
          <w:i w:val="0"/>
          <w:color w:val="000000"/>
          <w:sz w:val="21"/>
        </w:rPr>
        <w:t>Reagents and consumables are controlled from selection and receipt through storage, lot acceptance, inventory, expiry and disposal. New lots or shipments are evaluated where their variation can affect examination performance.</w:t>
      </w:r>
    </w:p>
    <w:p>
      <w:pPr>
        <w:pStyle w:val="Heading2"/>
        <w:spacing w:before="80" w:after="80"/>
        <w:keepNext/>
      </w:pPr>
      <w:r>
        <w:t>6.5 External Providers and Referral Laboratories</w:t>
      </w:r>
    </w:p>
    <w:p>
      <w:pPr>
        <w:spacing w:after="80" w:line="259" w:lineRule="auto"/>
      </w:pPr>
      <w:r>
        <w:rPr>
          <w:rFonts w:ascii="Cambria" w:hAnsi="Cambria"/>
          <w:b w:val="0"/>
          <w:i w:val="0"/>
          <w:color w:val="000000"/>
          <w:sz w:val="21"/>
        </w:rPr>
        <w:t>External services, suppliers and referral laboratories that affect service quality are selected and monitored using defined criteria. Responsibilities for referral, result integration, communication and review are documented.</w:t>
      </w:r>
    </w:p>
    <w:p>
      <w:pPr>
        <w:pStyle w:val="Heading1"/>
        <w:spacing w:before="140" w:after="80"/>
        <w:keepNext/>
      </w:pPr>
      <w:r>
        <w:t>7. Pre-examination Processes</w:t>
      </w:r>
    </w:p>
    <w:p>
      <w:pPr>
        <w:spacing w:after="80" w:line="259" w:lineRule="auto"/>
      </w:pPr>
      <w:r>
        <w:rPr>
          <w:rFonts w:ascii="Cambria" w:hAnsi="Cambria"/>
          <w:b w:val="0"/>
          <w:i w:val="0"/>
          <w:color w:val="000000"/>
          <w:sz w:val="21"/>
        </w:rPr>
        <w:t>Pre-examination processes are controlled to ensure the laboratory receives the correct request, patient identity and suitable sample. The laboratory maintains current instructions for users and relevant staff, including patient preparation, specimen type, container, collection, labelling, transport, stability, receipt and acceptance/rejection criteria.</w:t>
      </w:r>
    </w:p>
    <w:p>
      <w:pPr>
        <w:pStyle w:val="ListBullet"/>
        <w:spacing w:after="40"/>
        <w:ind w:left="283" w:hanging="142"/>
      </w:pPr>
      <w:r>
        <w:rPr>
          <w:rFonts w:ascii="Cambria" w:hAnsi="Cambria"/>
          <w:b w:val="0"/>
          <w:i w:val="0"/>
          <w:color w:val="000000"/>
          <w:sz w:val="20"/>
        </w:rPr>
        <w:t>Requests contain sufficient information to identify the patient, requester, examinations and relevant clinical context.</w:t>
      </w:r>
    </w:p>
    <w:p>
      <w:pPr>
        <w:pStyle w:val="ListBullet"/>
        <w:spacing w:after="40"/>
        <w:ind w:left="283" w:hanging="142"/>
      </w:pPr>
      <w:r>
        <w:rPr>
          <w:rFonts w:ascii="Cambria" w:hAnsi="Cambria"/>
          <w:b w:val="0"/>
          <w:i w:val="0"/>
          <w:color w:val="000000"/>
          <w:sz w:val="20"/>
        </w:rPr>
        <w:t>Patient identification and specimen labelling use reliable controls appropriate to the setting.</w:t>
      </w:r>
    </w:p>
    <w:p>
      <w:pPr>
        <w:pStyle w:val="ListBullet"/>
        <w:spacing w:after="40"/>
        <w:ind w:left="283" w:hanging="142"/>
      </w:pPr>
      <w:r>
        <w:rPr>
          <w:rFonts w:ascii="Cambria" w:hAnsi="Cambria"/>
          <w:b w:val="0"/>
          <w:i w:val="0"/>
          <w:color w:val="000000"/>
          <w:sz w:val="20"/>
        </w:rPr>
        <w:t>Transport and storage conditions protect sample integrity and traceability.</w:t>
      </w:r>
    </w:p>
    <w:p>
      <w:pPr>
        <w:pStyle w:val="ListBullet"/>
        <w:spacing w:after="40"/>
        <w:ind w:left="283" w:hanging="142"/>
      </w:pPr>
      <w:r>
        <w:rPr>
          <w:rFonts w:ascii="Cambria" w:hAnsi="Cambria"/>
          <w:b w:val="0"/>
          <w:i w:val="0"/>
          <w:color w:val="000000"/>
          <w:sz w:val="20"/>
        </w:rPr>
        <w:t>Exceptions to acceptance/rejection criteria are authorized, justified and recorded when clinically necessary.</w:t>
      </w:r>
    </w:p>
    <w:p>
      <w:pPr>
        <w:pStyle w:val="Heading1"/>
        <w:spacing w:before="140" w:after="80"/>
        <w:keepNext/>
      </w:pPr>
      <w:r>
        <w:t>8. Examination Processes</w:t>
      </w:r>
    </w:p>
    <w:p>
      <w:pPr>
        <w:pStyle w:val="Heading2"/>
        <w:spacing w:before="80" w:after="80"/>
        <w:keepNext/>
      </w:pPr>
      <w:r>
        <w:t>8.1 Examination Procedures</w:t>
      </w:r>
    </w:p>
    <w:p>
      <w:pPr>
        <w:spacing w:after="80" w:line="259" w:lineRule="auto"/>
      </w:pPr>
      <w:r>
        <w:rPr>
          <w:rFonts w:ascii="Cambria" w:hAnsi="Cambria"/>
          <w:b w:val="0"/>
          <w:i w:val="0"/>
          <w:color w:val="000000"/>
          <w:sz w:val="21"/>
        </w:rPr>
        <w:t>Examination procedures are selected for intended clinical use and are verified or validated, as appropriate, before routine reporting. Procedures are controlled and contain the information needed for consistent performance, including technical steps, quality controls, calculations, reference information and criteria for result review.</w:t>
      </w:r>
    </w:p>
    <w:p>
      <w:pPr>
        <w:pStyle w:val="Heading2"/>
        <w:spacing w:before="80" w:after="80"/>
        <w:keepNext/>
      </w:pPr>
      <w:r>
        <w:t>8.2 Internal Quality Control</w:t>
      </w:r>
    </w:p>
    <w:p>
      <w:pPr>
        <w:spacing w:after="80" w:line="259" w:lineRule="auto"/>
      </w:pPr>
      <w:r>
        <w:rPr>
          <w:rFonts w:ascii="Cambria" w:hAnsi="Cambria"/>
          <w:b w:val="0"/>
          <w:i w:val="0"/>
          <w:color w:val="000000"/>
          <w:sz w:val="21"/>
        </w:rPr>
        <w:t>Internal quality control is planned according to examination risk and performance characteristics. Acceptance rules and responses to control failure are defined so potentially affected patient results are identified, contained and evaluated before release or after discovery of a problem.</w:t>
      </w:r>
    </w:p>
    <w:p>
      <w:pPr>
        <w:pStyle w:val="Heading2"/>
        <w:spacing w:before="80" w:after="80"/>
        <w:keepNext/>
      </w:pPr>
      <w:r>
        <w:t>8.3 External Quality Assessment / Proficiency Testing</w:t>
      </w:r>
    </w:p>
    <w:p>
      <w:pPr>
        <w:spacing w:after="80" w:line="259" w:lineRule="auto"/>
      </w:pPr>
      <w:r>
        <w:rPr>
          <w:rFonts w:ascii="Cambria" w:hAnsi="Cambria"/>
          <w:b w:val="0"/>
          <w:i w:val="0"/>
          <w:color w:val="000000"/>
          <w:sz w:val="21"/>
        </w:rPr>
        <w:t>The laboratory participates in suitable external quality assessment or proficiency testing where available and useful. Performance is reviewed by competent personnel, unsatisfactory or unexpected results are investigated, patient impact is considered and corrective action effectiveness is verified.</w:t>
      </w:r>
    </w:p>
    <w:p>
      <w:pPr>
        <w:pStyle w:val="Heading2"/>
        <w:spacing w:before="80" w:after="80"/>
        <w:keepNext/>
      </w:pPr>
      <w:r>
        <w:t>8.4 Measurement and Performance Characteristics</w:t>
      </w:r>
    </w:p>
    <w:p>
      <w:pPr>
        <w:spacing w:after="80" w:line="259" w:lineRule="auto"/>
      </w:pPr>
      <w:r>
        <w:rPr>
          <w:rFonts w:ascii="Cambria" w:hAnsi="Cambria"/>
          <w:b w:val="0"/>
          <w:i w:val="0"/>
          <w:color w:val="000000"/>
          <w:sz w:val="21"/>
        </w:rPr>
        <w:t>The laboratory maintains relevant analytical performance evidence such as precision, bias, measuring interval, detection capability, comparability, uncertainty or other characteristics as appropriate to the examination and clinical use. The technical approach is documented and periodically reviewed.</w:t>
      </w:r>
    </w:p>
    <w:p>
      <w:pPr>
        <w:pStyle w:val="Heading1"/>
        <w:spacing w:before="140" w:after="80"/>
        <w:keepNext/>
      </w:pPr>
      <w:r>
        <w:t>9. Post-examination Processes</w:t>
      </w:r>
    </w:p>
    <w:p>
      <w:pPr>
        <w:pStyle w:val="ListBullet"/>
        <w:spacing w:after="40"/>
        <w:ind w:left="283" w:hanging="142"/>
      </w:pPr>
      <w:r>
        <w:rPr>
          <w:rFonts w:ascii="Cambria" w:hAnsi="Cambria"/>
          <w:b w:val="0"/>
          <w:i w:val="0"/>
          <w:color w:val="000000"/>
          <w:sz w:val="20"/>
        </w:rPr>
        <w:t>Results are reviewed and authorized by appropriately authorized personnel or validated automated rules.</w:t>
      </w:r>
    </w:p>
    <w:p>
      <w:pPr>
        <w:pStyle w:val="ListBullet"/>
        <w:spacing w:after="40"/>
        <w:ind w:left="283" w:hanging="142"/>
      </w:pPr>
      <w:r>
        <w:rPr>
          <w:rFonts w:ascii="Cambria" w:hAnsi="Cambria"/>
          <w:b w:val="0"/>
          <w:i w:val="0"/>
          <w:color w:val="000000"/>
          <w:sz w:val="20"/>
        </w:rPr>
        <w:t>Reports are accurate, unambiguous, traceable and contain information needed for clinical use.</w:t>
      </w:r>
    </w:p>
    <w:p>
      <w:pPr>
        <w:pStyle w:val="ListBullet"/>
        <w:spacing w:after="40"/>
        <w:ind w:left="283" w:hanging="142"/>
      </w:pPr>
      <w:r>
        <w:rPr>
          <w:rFonts w:ascii="Cambria" w:hAnsi="Cambria"/>
          <w:b w:val="0"/>
          <w:i w:val="0"/>
          <w:color w:val="000000"/>
          <w:sz w:val="20"/>
        </w:rPr>
        <w:t>Critical or urgent results are communicated using defined escalation, recipient identification, acknowledgement and time recording.</w:t>
      </w:r>
    </w:p>
    <w:p>
      <w:pPr>
        <w:pStyle w:val="ListBullet"/>
        <w:spacing w:after="40"/>
        <w:ind w:left="283" w:hanging="142"/>
      </w:pPr>
      <w:r>
        <w:rPr>
          <w:rFonts w:ascii="Cambria" w:hAnsi="Cambria"/>
          <w:b w:val="0"/>
          <w:i w:val="0"/>
          <w:color w:val="000000"/>
          <w:sz w:val="20"/>
        </w:rPr>
        <w:t>Corrections and amended reports preserve the original information and provide traceability of the change and notification.</w:t>
      </w:r>
    </w:p>
    <w:p>
      <w:pPr>
        <w:pStyle w:val="ListBullet"/>
        <w:spacing w:after="40"/>
        <w:ind w:left="283" w:hanging="142"/>
      </w:pPr>
      <w:r>
        <w:rPr>
          <w:rFonts w:ascii="Cambria" w:hAnsi="Cambria"/>
          <w:b w:val="0"/>
          <w:i w:val="0"/>
          <w:color w:val="000000"/>
          <w:sz w:val="20"/>
        </w:rPr>
        <w:t>Samples and records are retained and disposed of according to applicable requirements and laboratory policy.</w:t>
      </w:r>
    </w:p>
    <w:p>
      <w:pPr>
        <w:pStyle w:val="Heading1"/>
        <w:spacing w:before="140" w:after="80"/>
        <w:keepNext/>
      </w:pPr>
      <w:r>
        <w:t>10. Laboratory Information Management</w:t>
      </w:r>
    </w:p>
    <w:p>
      <w:pPr>
        <w:spacing w:after="80" w:line="259" w:lineRule="auto"/>
      </w:pPr>
      <w:r>
        <w:rPr>
          <w:rFonts w:ascii="Cambria" w:hAnsi="Cambria"/>
          <w:b w:val="0"/>
          <w:i w:val="0"/>
          <w:color w:val="000000"/>
          <w:sz w:val="21"/>
        </w:rPr>
        <w:t>Information systems and data flows that support requests, worklists, instrument interfaces, calculations, result review, reporting and archiving are controlled to protect data integrity, confidentiality, availability and traceability. Changes are validated before release where they can affect patient or examination information. Backup, downtime and recovery arrangements are tested as appropriate.</w:t>
      </w:r>
    </w:p>
    <w:p>
      <w:pPr>
        <w:pStyle w:val="Heading1"/>
        <w:spacing w:before="140" w:after="80"/>
        <w:keepNext/>
      </w:pPr>
      <w:r>
        <w:t>11. Management System Controls</w:t>
      </w:r>
    </w:p>
    <w:p>
      <w:pPr>
        <w:pStyle w:val="Heading2"/>
        <w:spacing w:before="80" w:after="80"/>
        <w:keepNext/>
      </w:pPr>
      <w:r>
        <w:t>11.1 Documented Information</w:t>
      </w:r>
    </w:p>
    <w:p>
      <w:pPr>
        <w:spacing w:after="80" w:line="259" w:lineRule="auto"/>
      </w:pPr>
      <w:r>
        <w:rPr>
          <w:rFonts w:ascii="Cambria" w:hAnsi="Cambria"/>
          <w:b w:val="0"/>
          <w:i w:val="0"/>
          <w:color w:val="000000"/>
          <w:sz w:val="21"/>
        </w:rPr>
        <w:t>Controlled documents and records are identified, approved, available at the point of use, protected from unintended change and retained for defined periods. External documents used for laboratory work are also controlled.</w:t>
      </w:r>
    </w:p>
    <w:p>
      <w:pPr>
        <w:pStyle w:val="Heading2"/>
        <w:spacing w:before="80" w:after="80"/>
        <w:keepNext/>
      </w:pPr>
      <w:r>
        <w:t>11.2 Risk and Opportunities</w:t>
      </w:r>
    </w:p>
    <w:p>
      <w:pPr>
        <w:spacing w:after="80" w:line="259" w:lineRule="auto"/>
      </w:pPr>
      <w:r>
        <w:rPr>
          <w:rFonts w:ascii="Cambria" w:hAnsi="Cambria"/>
          <w:b w:val="0"/>
          <w:i w:val="0"/>
          <w:color w:val="000000"/>
          <w:sz w:val="21"/>
        </w:rPr>
        <w:t>The laboratory identifies and manages risks that can harm patients, staff or service providers and uses opportunities to improve patient care, quality, efficiency and system resilience. Significant changes are evaluated before implementation and monitored after release.</w:t>
      </w:r>
    </w:p>
    <w:p>
      <w:pPr>
        <w:pStyle w:val="Heading2"/>
        <w:spacing w:before="80" w:after="80"/>
        <w:keepNext/>
      </w:pPr>
      <w:r>
        <w:t>11.3 Nonconforming Work and Corrective Action</w:t>
      </w:r>
    </w:p>
    <w:p>
      <w:pPr>
        <w:spacing w:after="80" w:line="259" w:lineRule="auto"/>
      </w:pPr>
      <w:r>
        <w:rPr>
          <w:rFonts w:ascii="Cambria" w:hAnsi="Cambria"/>
          <w:b w:val="0"/>
          <w:i w:val="0"/>
          <w:color w:val="000000"/>
          <w:sz w:val="21"/>
        </w:rPr>
        <w:t>When work does not meet intended requirements, the laboratory contains the issue, evaluates patient or result impact, makes necessary corrections, informs affected parties where required and performs cause analysis for significant or recurring problems. Corrective action effectiveness is verified.</w:t>
      </w:r>
    </w:p>
    <w:p>
      <w:pPr>
        <w:pStyle w:val="Heading2"/>
        <w:spacing w:before="80" w:after="80"/>
        <w:keepNext/>
      </w:pPr>
      <w:r>
        <w:t>11.4 Complaints</w:t>
      </w:r>
    </w:p>
    <w:p>
      <w:pPr>
        <w:spacing w:after="80" w:line="259" w:lineRule="auto"/>
      </w:pPr>
      <w:r>
        <w:rPr>
          <w:rFonts w:ascii="Cambria" w:hAnsi="Cambria"/>
          <w:b w:val="0"/>
          <w:i w:val="0"/>
          <w:color w:val="000000"/>
          <w:sz w:val="21"/>
        </w:rPr>
        <w:t>Complaints are received, evaluated, investigated and responded to through an impartial, traceable process. Trends and repeated issues are reviewed for corrective action or improvement.</w:t>
      </w:r>
    </w:p>
    <w:p>
      <w:pPr>
        <w:pStyle w:val="Heading2"/>
        <w:spacing w:before="80" w:after="80"/>
        <w:keepNext/>
      </w:pPr>
      <w:r>
        <w:t>11.5 Continuity and Emergency Preparedness</w:t>
      </w:r>
    </w:p>
    <w:p>
      <w:pPr>
        <w:spacing w:after="80" w:line="259" w:lineRule="auto"/>
      </w:pPr>
      <w:r>
        <w:rPr>
          <w:rFonts w:ascii="Cambria" w:hAnsi="Cambria"/>
          <w:b w:val="0"/>
          <w:i w:val="0"/>
          <w:color w:val="000000"/>
          <w:sz w:val="21"/>
        </w:rPr>
        <w:t>The laboratory plans for disruptions to critical services, equipment, utilities, information systems, staffing or supply. Continuity arrangements define alternative processes, communication, prioritization, recovery and post-event review.</w:t>
      </w:r>
    </w:p>
    <w:p>
      <w:pPr>
        <w:pStyle w:val="Heading1"/>
        <w:spacing w:before="140" w:after="80"/>
        <w:keepNext/>
      </w:pPr>
      <w:r>
        <w:t>12. Performance Evaluation</w:t>
      </w:r>
    </w:p>
    <w:p>
      <w:pPr>
        <w:pStyle w:val="ListBullet"/>
        <w:spacing w:after="40"/>
        <w:ind w:left="283" w:hanging="142"/>
      </w:pPr>
      <w:r>
        <w:rPr>
          <w:rFonts w:ascii="Cambria" w:hAnsi="Cambria"/>
          <w:b w:val="0"/>
          <w:i w:val="0"/>
          <w:color w:val="000000"/>
          <w:sz w:val="20"/>
        </w:rPr>
        <w:t>Quality indicators monitor selected process, timeliness, error, service and improvement outcomes.</w:t>
      </w:r>
    </w:p>
    <w:p>
      <w:pPr>
        <w:pStyle w:val="ListBullet"/>
        <w:spacing w:after="40"/>
        <w:ind w:left="283" w:hanging="142"/>
      </w:pPr>
      <w:r>
        <w:rPr>
          <w:rFonts w:ascii="Cambria" w:hAnsi="Cambria"/>
          <w:b w:val="0"/>
          <w:i w:val="0"/>
          <w:color w:val="000000"/>
          <w:sz w:val="20"/>
        </w:rPr>
        <w:t>Data are analyzed at planned intervals and reviewed by accountable process owners.</w:t>
      </w:r>
    </w:p>
    <w:p>
      <w:pPr>
        <w:pStyle w:val="ListBullet"/>
        <w:spacing w:after="40"/>
        <w:ind w:left="283" w:hanging="142"/>
      </w:pPr>
      <w:r>
        <w:rPr>
          <w:rFonts w:ascii="Cambria" w:hAnsi="Cambria"/>
          <w:b w:val="0"/>
          <w:i w:val="0"/>
          <w:color w:val="000000"/>
          <w:sz w:val="20"/>
        </w:rPr>
        <w:t>Internal audits evaluate both management-system and technical processes using objective evidence.</w:t>
      </w:r>
    </w:p>
    <w:p>
      <w:pPr>
        <w:pStyle w:val="ListBullet"/>
        <w:spacing w:after="40"/>
        <w:ind w:left="283" w:hanging="142"/>
      </w:pPr>
      <w:r>
        <w:rPr>
          <w:rFonts w:ascii="Cambria" w:hAnsi="Cambria"/>
          <w:b w:val="0"/>
          <w:i w:val="0"/>
          <w:color w:val="000000"/>
          <w:sz w:val="20"/>
        </w:rPr>
        <w:t>Management review evaluates the continuing suitability, adequacy and effectiveness of the LQMS and results in recorded decisions and actions.</w:t>
      </w:r>
    </w:p>
    <w:p>
      <w:pPr>
        <w:pStyle w:val="Heading1"/>
        <w:spacing w:before="140" w:after="80"/>
        <w:keepNext/>
      </w:pPr>
      <w:r>
        <w:t>13. Continual Improvement</w:t>
      </w:r>
    </w:p>
    <w:p>
      <w:pPr>
        <w:spacing w:after="80" w:line="259" w:lineRule="auto"/>
      </w:pPr>
      <w:r>
        <w:rPr>
          <w:rFonts w:ascii="Cambria" w:hAnsi="Cambria"/>
          <w:b w:val="0"/>
          <w:i w:val="0"/>
          <w:color w:val="000000"/>
          <w:sz w:val="21"/>
        </w:rPr>
        <w:t>Improvement opportunities are identified from indicators, risk review, staff suggestions, complaints, nonconformities, audits, QC/EQA, management review and changes in clinical or technical practice. Improvements are prioritized according to patient benefit, risk, feasibility and resource implications, and effectiveness is evaluated after implementation.</w:t>
      </w:r>
    </w:p>
    <w:p>
      <w:pPr>
        <w:pStyle w:val="Heading1"/>
        <w:spacing w:before="140" w:after="80"/>
        <w:keepNext/>
      </w:pPr>
      <w:r>
        <w:t>14. Document Structure</w:t>
      </w:r>
    </w:p>
    <w:tbl>
      <w:tblPr>
        <w:tblStyle w:val="TableGrid"/>
        <w:tblW w:type="auto" w:w="0"/>
        <w:jc w:val="center"/>
        <w:tblLook w:val="04A0"/>
      </w:tblPr>
      <w:tblGrid>
        <w:gridCol w:w="3118"/>
        <w:gridCol w:w="3118"/>
        <w:gridCol w:w="3118"/>
      </w:tblGrid>
      <w:tr>
        <w:trPr>
          <w:tblHeader w:val="true"/>
          <w:cantSplit/>
        </w:trPr>
        <w:tc>
          <w:tcPr>
            <w:tcW w:type="dxa" w:w="198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Level</w:t>
            </w:r>
          </w:p>
        </w:tc>
        <w:tc>
          <w:tcPr>
            <w:tcW w:type="dxa" w:w="4252"/>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Examples</w:t>
            </w:r>
          </w:p>
        </w:tc>
        <w:tc>
          <w:tcPr>
            <w:tcW w:type="dxa" w:w="453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Control intent</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Level 1</w:t>
            </w:r>
          </w:p>
        </w:tc>
        <w:tc>
          <w:tcPr>
            <w:tcW w:type="dxa" w:w="425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Quality manual, policies, scope and governance documents.</w:t>
            </w:r>
          </w:p>
        </w:tc>
        <w:tc>
          <w:tcPr>
            <w:tcW w:type="dxa" w:w="45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Direction and management-system framework.</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Level 2</w:t>
            </w:r>
          </w:p>
        </w:tc>
        <w:tc>
          <w:tcPr>
            <w:tcW w:type="dxa" w:w="425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Cross-functional procedures.</w:t>
            </w:r>
          </w:p>
        </w:tc>
        <w:tc>
          <w:tcPr>
            <w:tcW w:type="dxa" w:w="45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Define responsibilities and controlled processes.</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Level 3</w:t>
            </w:r>
          </w:p>
        </w:tc>
        <w:tc>
          <w:tcPr>
            <w:tcW w:type="dxa" w:w="425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Technical SOPs and work instructions.</w:t>
            </w:r>
          </w:p>
        </w:tc>
        <w:tc>
          <w:tcPr>
            <w:tcW w:type="dxa" w:w="45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Define detailed operational and examination steps.</w:t>
            </w:r>
          </w:p>
        </w:tc>
      </w:tr>
      <w:tr>
        <w:trPr>
          <w:cantSplit/>
        </w:trPr>
        <w:tc>
          <w:tcPr>
            <w:tcW w:type="dxa" w:w="198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Level 4</w:t>
            </w:r>
          </w:p>
        </w:tc>
        <w:tc>
          <w:tcPr>
            <w:tcW w:type="dxa" w:w="425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Forms, registers, logs, reports and records.</w:t>
            </w:r>
          </w:p>
        </w:tc>
        <w:tc>
          <w:tcPr>
            <w:tcW w:type="dxa" w:w="45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Capture objective evidence and support review.</w:t>
            </w:r>
          </w:p>
        </w:tc>
      </w:tr>
    </w:tbl>
    <w:p>
      <w:pPr>
        <w:spacing w:after="40"/>
      </w:pPr>
    </w:p>
    <w:p>
      <w:pPr>
        <w:pStyle w:val="Heading1"/>
        <w:spacing w:before="140" w:after="80"/>
        <w:keepNext/>
      </w:pPr>
      <w:r>
        <w:t>References</w:t>
      </w:r>
    </w:p>
    <w:tbl>
      <w:tblPr>
        <w:tblStyle w:val="TableGrid"/>
        <w:tblW w:type="auto" w:w="0"/>
        <w:jc w:val="center"/>
        <w:tblLook w:val="04A0"/>
      </w:tblPr>
      <w:tblGrid>
        <w:gridCol w:w="3118"/>
        <w:gridCol w:w="3118"/>
        <w:gridCol w:w="3118"/>
      </w:tblGrid>
      <w:tr>
        <w:trPr>
          <w:tblHeader w:val="true"/>
          <w:cantSplit/>
        </w:trPr>
        <w:tc>
          <w:tcPr>
            <w:tcW w:type="dxa" w:w="192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Reference</w:t>
            </w:r>
          </w:p>
        </w:tc>
        <w:tc>
          <w:tcPr>
            <w:tcW w:type="dxa" w:w="5216"/>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Title</w:t>
            </w:r>
          </w:p>
        </w:tc>
        <w:tc>
          <w:tcPr>
            <w:tcW w:type="dxa" w:w="351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Official source</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ISO 15189:2022</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Medical laboratories — Requirements for quality and competence</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https://www.iso.org/standard/76677.html</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ISO 20658:2023</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Requirements for the collection and transport of samples for medical laboratory examinations</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https://www.iso.org/standard/80035.html</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ISO 22367:2026</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Medical laboratories — Application of risk management to medical laboratories</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https://www.iso.org/standard/87738.html</w:t>
            </w:r>
          </w:p>
        </w:tc>
      </w:tr>
    </w:tbl>
    <w:p>
      <w:pPr>
        <w:spacing w:after="40"/>
      </w:pP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Use the organization’s authorized copy of the applicable standard as the definitive reference. This document paraphrases requirements and does not reproduce the standard text.</w:t>
            </w:r>
          </w:p>
        </w:tc>
      </w:tr>
    </w:tbl>
    <w:p>
      <w:pPr>
        <w:spacing w:after="20"/>
      </w:pPr>
    </w:p>
    <w:p>
      <w:pPr>
        <w:pStyle w:val="Heading1"/>
        <w:spacing w:before="140" w:after="80"/>
        <w:keepNext/>
      </w:pPr>
      <w:r>
        <w:t>Revision and Approval</w:t>
      </w:r>
    </w:p>
    <w:tbl>
      <w:tblPr>
        <w:tblStyle w:val="TableGrid"/>
        <w:tblW w:type="auto" w:w="0"/>
        <w:jc w:val="center"/>
        <w:tblLook w:val="04A0"/>
      </w:tblPr>
      <w:tblGrid>
        <w:gridCol w:w="2339"/>
        <w:gridCol w:w="2339"/>
        <w:gridCol w:w="2339"/>
        <w:gridCol w:w="2339"/>
      </w:tblGrid>
      <w:tr>
        <w:trPr>
          <w:tblHeader w:val="true"/>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Version</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Date</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Description</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Approval Status</w:t>
            </w:r>
          </w:p>
        </w:tc>
      </w:tr>
      <w:tr>
        <w:trPr>
          <w:cantSplit/>
        </w:trPr>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1.0</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2026-09-19</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Initial issue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Approved / [STATUS]</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Prepared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Reviewed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Approval Date</w:t>
            </w:r>
          </w:p>
        </w:tc>
      </w:tr>
      <w:tr>
        <w:trPr>
          <w:cantSplit/>
        </w:trPr>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[DOCUMENT OWNER]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[REVIEWER]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[DATE]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b w:val="0"/>
        <w:i w:val="0"/>
        <w:color w:val="666666"/>
        <w:sz w:val="16"/>
      </w:rPr>
      <w:t>ISO TOOLKITS DOCUMENT | www.iso-toolkits.org | info@iso-toolkits.org | INTERNAL</w:t>
    </w:r>
  </w:p>
  <w:p>
    <w:pPr>
      <w:jc w:val="center"/>
    </w:pPr>
    <w:r>
      <w:rPr>
        <w:rFonts w:ascii="Cambria" w:hAnsi="Cambria"/>
        <w:color w:val="666666"/>
        <w:sz w:val="16"/>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ook w:val="04A0"/>
    </w:tblPr>
    <w:tblGrid>
      <w:gridCol w:w="3118"/>
      <w:gridCol w:w="3118"/>
      <w:gridCol w:w="3118"/>
    </w:tblGrid>
    <w:t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ORGANIZATION</w:t>
            <w:br/>
            <w:t>LOGO</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40" w:type="dxa"/>
            <w:left w:w="50" w:type="dxa"/>
            <w:bottom w:w="40" w:type="dxa"/>
            <w:right w:w="50" w:type="dxa"/>
          </w:tcMar>
        </w:tcPr>
        <w:p>
          <w:pPr>
            <w:jc w:val="center"/>
          </w:pPr>
          <w:r>
            <w:rPr>
              <w:rFonts w:ascii="Cambria" w:hAnsi="Cambria"/>
              <w:b/>
              <w:i w:val="0"/>
              <w:color w:val="1F4E79"/>
              <w:sz w:val="16"/>
            </w:rPr>
            <w:t>[ORGANIZATION NAME]</w:t>
            <w:br/>
            <w:t>Laboratory Quality Management Manual</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LQMS-MAN-001</w:t>
            <w:br/>
            <w:t>Version 1.0</w:t>
            <w:br/>
            <w:t>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Quality Management Manual</dc:title>
  <dc:subject>ISO 15189:2022 — Medical laboratories — Requirements for quality and competence toolkit document</dc:subject>
  <dc:creator>ISO Toolkits</dc:creator>
  <cp:keywords>ISO 15189, medical laboratory, LQMS, quality, competence, accreditation</cp:keywords>
  <dc:description>Professional ISO 15189 toolkit document. Website: www.iso-toolkits.org; Email: info@iso-toolkits.org</dc:description>
  <cp:lastModifiedBy/>
  <cp:revision>1</cp:revision>
  <dcterms:created xsi:type="dcterms:W3CDTF">2013-12-23T23:15:00Z</dcterms:created>
  <dcterms:modified xsi:type="dcterms:W3CDTF">2013-12-23T23:15:00Z</dcterms:modified>
  <cp:category/>
</cp:coreProperties>
</file>