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800"/>
        <w:jc w:val="center"/>
      </w:pPr>
      <w:r>
        <w:rPr>
          <w:rFonts w:ascii="Cambria" w:hAnsi="Cambria"/>
          <w:b/>
          <w:i w:val="0"/>
          <w:color w:val="1F4E79"/>
          <w:sz w:val="44"/>
        </w:rPr>
        <w:t>Laboratory Quality Implementation Project Plan</w:t>
      </w:r>
    </w:p>
    <w:p>
      <w:pPr>
        <w:jc w:val="center"/>
      </w:pPr>
      <w:r>
        <w:rPr>
          <w:rFonts w:ascii="Cambria" w:hAnsi="Cambria"/>
          <w:b w:val="0"/>
          <w:i w:val="0"/>
          <w:color w:val="555555"/>
          <w:sz w:val="24"/>
        </w:rPr>
        <w:t>Practical implementation roadmap for ISO 15189:2022</w:t>
      </w:r>
    </w:p>
    <w:p>
      <w:pPr>
        <w:spacing w:before="200"/>
        <w:jc w:val="center"/>
      </w:pPr>
      <w:r>
        <w:rPr>
          <w:rFonts w:ascii="Cambria" w:hAnsi="Cambria"/>
          <w:b/>
          <w:i w:val="0"/>
          <w:color w:val="1F4E79"/>
          <w:sz w:val="21"/>
        </w:rPr>
        <w:t>ISO 15189:2022 — Medical laboratories — Requirements for quality and competence</w:t>
      </w:r>
    </w:p>
    <w:tbl>
      <w:tblPr>
        <w:tblStyle w:val="TableGrid"/>
        <w:tblW w:type="auto" w:w="0"/>
        <w:jc w:val="center"/>
        <w:tblLook w:val="04A0"/>
      </w:tblPr>
      <w:tblGrid>
        <w:gridCol w:w="3572"/>
        <w:gridCol w:w="3572"/>
        <w:gridCol w:w="3572"/>
        <w:gridCol w:w="3572"/>
      </w:tblGrid>
      <w:tr>
        <w:trPr>
          <w:tblHeader w:val="true"/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3572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LQMS-PLN-001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3572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[DOCUMENT OWNER]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[ANNUAL / UPON CHANGE]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Website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www.iso-toolkits.org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Email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info@iso-toolkits.org</w:t>
            </w:r>
          </w:p>
        </w:tc>
      </w:tr>
    </w:tbl>
    <w:p/>
    <w:tbl>
      <w:tblPr>
        <w:tblW w:type="auto" w:w="0"/>
        <w:jc w:val="center"/>
        <w:tblLook w:val="04A0"/>
      </w:tblPr>
      <w:tblGrid>
        <w:gridCol w:w="14287"/>
      </w:tblGrid>
      <w:tr>
        <w:trPr>
          <w:cantSplit/>
        </w:trPr>
        <w:tc>
          <w:tcPr>
            <w:tcW w:type="dxa" w:w="14287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Replace organization-specific placeholders and confirm applicable statutory, regulatory, accreditation and payer requirements before controlled release.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spacing w:before="140" w:after="80"/>
        <w:keepNext/>
      </w:pPr>
      <w:r>
        <w:t>1. Project Purpose</w:t>
      </w:r>
    </w:p>
    <w:p>
      <w:pPr>
        <w:spacing w:after="80" w:line="259" w:lineRule="auto"/>
      </w:pPr>
      <w:r>
        <w:rPr>
          <w:rFonts w:ascii="Cambria" w:hAnsi="Cambria"/>
          <w:b w:val="0"/>
          <w:i w:val="0"/>
          <w:color w:val="000000"/>
          <w:sz w:val="21"/>
        </w:rPr>
        <w:t>This plan provides a practical implementation roadmap for establishing, upgrading or aligning a medical laboratory quality management system with ISO 15189:2022. It is designed for use by the laboratory director, quality manager, technical managers, section heads and project stakeholders to coordinate work, evidence, decisions and readiness milestones.</w:t>
      </w:r>
    </w:p>
    <w:p>
      <w:pPr>
        <w:pStyle w:val="Heading1"/>
        <w:spacing w:before="140" w:after="80"/>
        <w:keepNext/>
      </w:pPr>
      <w:r>
        <w:t>2. Project Objectives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Establish a documented LQMS that is integrated with routine laboratory operations rather than managed as a separate compliance project.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Demonstrate technical competence across personnel, equipment, examination procedures, quality control and result reporting.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Strengthen patient safety through risk-based controls, reliable communication and effective response to nonconforming work.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Create objective evidence sufficient for internal assurance, management review and accreditation-readiness assessment.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Transfer ownership from the implementation project to routine process owners before project closure.</w:t>
      </w:r>
    </w:p>
    <w:p>
      <w:pPr>
        <w:pStyle w:val="Heading1"/>
        <w:spacing w:before="140" w:after="80"/>
        <w:keepNext/>
      </w:pPr>
      <w:r>
        <w:t>3. Governance and Roles</w:t>
      </w:r>
    </w:p>
    <w:tbl>
      <w:tblPr>
        <w:tblStyle w:val="TableGrid"/>
        <w:tblW w:type="auto" w:w="0"/>
        <w:jc w:val="center"/>
        <w:tblLook w:val="04A0"/>
      </w:tblPr>
      <w:tblGrid>
        <w:gridCol w:w="4762"/>
        <w:gridCol w:w="4762"/>
        <w:gridCol w:w="4762"/>
      </w:tblGrid>
      <w:tr>
        <w:trPr>
          <w:tblHeader w:val="true"/>
          <w:cantSplit/>
        </w:trPr>
        <w:tc>
          <w:tcPr>
            <w:tcW w:type="dxa" w:w="238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Role</w:t>
            </w:r>
          </w:p>
        </w:tc>
        <w:tc>
          <w:tcPr>
            <w:tcW w:type="dxa" w:w="464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Accountability</w:t>
            </w:r>
          </w:p>
        </w:tc>
        <w:tc>
          <w:tcPr>
            <w:tcW w:type="dxa" w:w="6520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Typical responsibilities</w:t>
            </w:r>
          </w:p>
        </w:tc>
      </w:tr>
      <w:tr>
        <w:trPr>
          <w:cantSplit/>
        </w:trPr>
        <w:tc>
          <w:tcPr>
            <w:tcW w:type="dxa" w:w="238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Executive Sponsor / Laboratory Director</w:t>
            </w:r>
          </w:p>
        </w:tc>
        <w:tc>
          <w:tcPr>
            <w:tcW w:type="dxa" w:w="464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Accountable for project success and laboratory competence.</w:t>
            </w:r>
          </w:p>
        </w:tc>
        <w:tc>
          <w:tcPr>
            <w:tcW w:type="dxa" w:w="652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 scope, policy, resources, major decisions and readiness status.</w:t>
            </w:r>
          </w:p>
        </w:tc>
      </w:tr>
      <w:tr>
        <w:trPr>
          <w:cantSplit/>
        </w:trPr>
        <w:tc>
          <w:tcPr>
            <w:tcW w:type="dxa" w:w="238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Quality Manager / Project Lead</w:t>
            </w:r>
          </w:p>
        </w:tc>
        <w:tc>
          <w:tcPr>
            <w:tcW w:type="dxa" w:w="464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Coordinates LQMS implementation.</w:t>
            </w:r>
          </w:p>
        </w:tc>
        <w:tc>
          <w:tcPr>
            <w:tcW w:type="dxa" w:w="652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Maintain plan, facilitate gap closure, control documents, track evidence and report progress.</w:t>
            </w:r>
          </w:p>
        </w:tc>
      </w:tr>
      <w:tr>
        <w:trPr>
          <w:cantSplit/>
        </w:trPr>
        <w:tc>
          <w:tcPr>
            <w:tcW w:type="dxa" w:w="238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Technical Manager(s)</w:t>
            </w:r>
          </w:p>
        </w:tc>
        <w:tc>
          <w:tcPr>
            <w:tcW w:type="dxa" w:w="464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Accountable for technical competence.</w:t>
            </w:r>
          </w:p>
        </w:tc>
        <w:tc>
          <w:tcPr>
            <w:tcW w:type="dxa" w:w="652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Method verification/validation, QC/EQA, equipment, technical authorization and performance monitoring.</w:t>
            </w:r>
          </w:p>
        </w:tc>
      </w:tr>
      <w:tr>
        <w:trPr>
          <w:cantSplit/>
        </w:trPr>
        <w:tc>
          <w:tcPr>
            <w:tcW w:type="dxa" w:w="238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Section Heads / Process Owners</w:t>
            </w:r>
          </w:p>
        </w:tc>
        <w:tc>
          <w:tcPr>
            <w:tcW w:type="dxa" w:w="464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Own implementation in daily work.</w:t>
            </w:r>
          </w:p>
        </w:tc>
        <w:tc>
          <w:tcPr>
            <w:tcW w:type="dxa" w:w="652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Develop SOPs, train staff, maintain records, close actions and sustain controls.</w:t>
            </w:r>
          </w:p>
        </w:tc>
      </w:tr>
      <w:tr>
        <w:trPr>
          <w:cantSplit/>
        </w:trPr>
        <w:tc>
          <w:tcPr>
            <w:tcW w:type="dxa" w:w="238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IT / Facilities / Procurement / HR</w:t>
            </w:r>
          </w:p>
        </w:tc>
        <w:tc>
          <w:tcPr>
            <w:tcW w:type="dxa" w:w="464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Provide enabling controls.</w:t>
            </w:r>
          </w:p>
        </w:tc>
        <w:tc>
          <w:tcPr>
            <w:tcW w:type="dxa" w:w="652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Information systems, environment, provider control, personnel records and support services.</w:t>
            </w:r>
          </w:p>
        </w:tc>
      </w:tr>
      <w:tr>
        <w:trPr>
          <w:cantSplit/>
        </w:trPr>
        <w:tc>
          <w:tcPr>
            <w:tcW w:type="dxa" w:w="238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Internal Audit Lead</w:t>
            </w:r>
          </w:p>
        </w:tc>
        <w:tc>
          <w:tcPr>
            <w:tcW w:type="dxa" w:w="464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Provides independent assurance.</w:t>
            </w:r>
          </w:p>
        </w:tc>
        <w:tc>
          <w:tcPr>
            <w:tcW w:type="dxa" w:w="6520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Plan and conduct audit, report findings, verify corrective actions.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4. Illustrative Implementation Roadmap</w:t>
      </w:r>
    </w:p>
    <w:tbl>
      <w:tblPr>
        <w:tblW w:type="auto" w:w="0"/>
        <w:jc w:val="center"/>
        <w:tblLook w:val="04A0"/>
      </w:tblPr>
      <w:tblGrid>
        <w:gridCol w:w="14287"/>
      </w:tblGrid>
      <w:tr>
        <w:trPr>
          <w:cantSplit/>
        </w:trPr>
        <w:tc>
          <w:tcPr>
            <w:tcW w:type="dxa" w:w="14287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The schedule below is Illustrative Data. Adjust duration, sequence and resources to the laboratory’s size, complexity, maturity, accreditation body requirements and operational constraints.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val="04A0"/>
      </w:tblPr>
      <w:tblGrid>
        <w:gridCol w:w="3572"/>
        <w:gridCol w:w="3572"/>
        <w:gridCol w:w="3572"/>
        <w:gridCol w:w="3572"/>
      </w:tblGrid>
      <w:tr>
        <w:trPr>
          <w:tblHeader w:val="true"/>
          <w:cantSplit/>
        </w:trPr>
        <w:tc>
          <w:tcPr>
            <w:tcW w:type="dxa" w:w="221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Phase</w:t>
            </w:r>
          </w:p>
        </w:tc>
        <w:tc>
          <w:tcPr>
            <w:tcW w:type="dxa" w:w="209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Illustrative timing</w:t>
            </w:r>
          </w:p>
        </w:tc>
        <w:tc>
          <w:tcPr>
            <w:tcW w:type="dxa" w:w="583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Primary focus</w:t>
            </w:r>
          </w:p>
        </w:tc>
        <w:tc>
          <w:tcPr>
            <w:tcW w:type="dxa" w:w="453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Exit criteria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0. Mobilize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1–2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Sponsor, project governance, scope, repository, implementation team.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Project charter and responsibilities approved.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1. Diagnose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2–4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Gap analysis, document review, process interviews, evidence sampling.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Prioritized gap register and action plan approved.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2. Design LQMS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4–7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Manual, policy, document hierarchy, risk model, objectives and governance controls.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Core LQMS framework approved.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3. Resource competence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6–10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Personnel competence, facilities, equipment, reagents, suppliers and information systems.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Resource controls implemented with evidence.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4. Technical processes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8–14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Pre-examination, examination, post-examination, method verification/validation, QC/EQA.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Technical procedures controlled and staff trained.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5. Operate &amp; evidence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12–17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Run controls, collect records, monitor indicators, close implementation issues.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Sufficient routine evidence available.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6. Internal assurance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16–19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Internal audit, nonconformity correction, management review.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Major gaps closed; management decisions recorded.</w:t>
            </w:r>
          </w:p>
        </w:tc>
      </w:tr>
      <w:tr>
        <w:trPr>
          <w:cantSplit/>
        </w:trPr>
        <w:tc>
          <w:tcPr>
            <w:tcW w:type="dxa" w:w="221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7. Readiness &amp; handover</w:t>
            </w:r>
          </w:p>
        </w:tc>
        <w:tc>
          <w:tcPr>
            <w:tcW w:type="dxa" w:w="209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Weeks 19–20+</w:t>
            </w:r>
          </w:p>
        </w:tc>
        <w:tc>
          <w:tcPr>
            <w:tcW w:type="dxa" w:w="58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Readiness review, evidence indexing, ownership transfer, accreditation preparation.</w:t>
            </w:r>
          </w:p>
        </w:tc>
        <w:tc>
          <w:tcPr>
            <w:tcW w:type="dxa" w:w="453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Controlled handover and readiness decision.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5. Detailed Work Plan</w:t>
      </w:r>
    </w:p>
    <w:tbl>
      <w:tblPr>
        <w:tblStyle w:val="TableGrid"/>
        <w:tblW w:type="auto" w:w="0"/>
        <w:jc w:val="center"/>
        <w:tblLook w:val="04A0"/>
      </w:tblPr>
      <w:tblGrid>
        <w:gridCol w:w="1786"/>
        <w:gridCol w:w="1786"/>
        <w:gridCol w:w="1786"/>
        <w:gridCol w:w="1786"/>
        <w:gridCol w:w="1786"/>
        <w:gridCol w:w="1786"/>
        <w:gridCol w:w="1786"/>
        <w:gridCol w:w="1786"/>
      </w:tblGrid>
      <w:tr>
        <w:trPr>
          <w:tblHeader w:val="true"/>
          <w:cantSplit/>
        </w:trPr>
        <w:tc>
          <w:tcPr>
            <w:tcW w:type="dxa" w:w="907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ID</w:t>
            </w:r>
          </w:p>
        </w:tc>
        <w:tc>
          <w:tcPr>
            <w:tcW w:type="dxa" w:w="153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Phase</w:t>
            </w:r>
          </w:p>
        </w:tc>
        <w:tc>
          <w:tcPr>
            <w:tcW w:type="dxa" w:w="396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Activity</w:t>
            </w:r>
          </w:p>
        </w:tc>
        <w:tc>
          <w:tcPr>
            <w:tcW w:type="dxa" w:w="2154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Owner</w:t>
            </w:r>
          </w:p>
        </w:tc>
        <w:tc>
          <w:tcPr>
            <w:tcW w:type="dxa" w:w="368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Deliverable / Evidence</w:t>
            </w:r>
          </w:p>
        </w:tc>
        <w:tc>
          <w:tcPr>
            <w:tcW w:type="dxa" w:w="1984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Dependency</w:t>
            </w:r>
          </w:p>
        </w:tc>
        <w:tc>
          <w:tcPr>
            <w:tcW w:type="dxa" w:w="136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Priority</w:t>
            </w:r>
          </w:p>
        </w:tc>
        <w:tc>
          <w:tcPr>
            <w:tcW w:type="dxa" w:w="204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4"/>
              </w:rPr>
              <w:t>Illustrative Status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P-001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Mobilize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Appoint sponsor, project lead and cross-functional implementation team.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Laboratory Director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appointments and governance terms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—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Completed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P-002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Mobilize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Define project scope, laboratory sites, disciplines and POCT interfaces.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Project Lead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project scope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P-001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In Progress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P-003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Mobilize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Establish controlled implementation repository and document conventions.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Repository and naming/control rules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P-001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Completed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Diagnose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Perform structured ISO 15189 gap analysis.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 / Assessors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Gap analysis report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P-002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In Progress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P-005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Diagnose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Create prioritized gap-closure action plan.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Project Lead / Process Owners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action plan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P-006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Design LQMS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 LQMS scope and service profile.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Laboratory Director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Controlled scope statement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P-002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P-007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Design LQMS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Develop or update quality policy and objectives.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Laboratory Director / Quality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policy and objective register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P-008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Design LQMS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Define LQMS document architecture and master document register.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Document map and register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P-003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P-009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Design LQMS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Implement risk and opportunity management process.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Risk procedure and risk register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P-010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Resources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Confirm role descriptions, qualification criteria and authorizations.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Laboratory Director / HR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Role and authorization matrix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P-006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P-011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Resources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Establish competence assessment and continuing education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Section Heads / HR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Competence matrix and assessment plan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P-010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P-012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Resources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Review facilities and environmental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Facilities / Section Heads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Environmental control plan and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P-013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Resources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Review equipment lifecycle, maintenance and metrological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Technical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Equipment procedure/register/files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P-014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Resources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Review reagent, consumable and inventory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Section Heads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Reagent control process and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P-015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Resources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Evaluate external providers and referral laboratory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Procurement / Laboratory Director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provider controls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P-016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Information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Validate LIS/data flows, access, interfaces, backup and downtime arrangements.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IT / Laboratory Director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LIS validation and continuity evidence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P-004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P-017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Pre-examination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Control examination requests, patient identification and sample collection.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Pre-examination Lead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Controlled procedures and training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P-010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P-018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Pre-examination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Control sample transport, receipt, acceptance and rejection.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Specimen Reception Lead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Procedures, criteria and exception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P-017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P-019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Inventory methods and confirm verification/validation status.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Technical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Method inventory and technical files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P-013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P-020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Standardize examination SOP structure and technical authorization.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Section Heads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SOP set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P-019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P-021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Implement IQC review and response-to-failure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Section Heads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IQC procedure and review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P-020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P-022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Implement EQA/PT evaluation and investigation controls.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 / Section Heads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EQA/PT procedure and investigations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P-020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P-023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Post-examination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Control result review, authorization, report release and amendments.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Technical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Reporting procedures and authorization matrix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P-020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P-024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Post-examination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Control critical-result communication and escalation.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Section Heads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Critical-result procedure and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P-023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P-025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Implement nonconforming work, complaint and CAPA processes.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Procedures and registers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P-008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P-026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Launch quality indicators and trend review.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Quality Manager / Process Owners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Indicator definitions and dashboard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P-007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P-027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Evidence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Run the LQMS and accumulate representative records.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All Process Owners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Routine operational evidence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P-017–P-026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P-028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Assurance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Conduct internal audit across management and technical processes.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Internal Audit Lead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Audit report and findings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P-027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P-029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Assurance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Close significant audit findings and verify effectiveness.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Process Owners / Quality Manager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Closed CAPA records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P-028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P-030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Assurance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Conduct formal management review.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Laboratory Director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Approved minutes and actions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P-028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P-031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Readiness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Perform final readiness assessment and evidence-index review.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Project Lead / Independent Reviewer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Readiness report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P-029,P-030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  <w:tr>
        <w:trPr>
          <w:cantSplit/>
        </w:trPr>
        <w:tc>
          <w:tcPr>
            <w:tcW w:type="dxa" w:w="90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P-032</w:t>
            </w:r>
          </w:p>
        </w:tc>
        <w:tc>
          <w:tcPr>
            <w:tcW w:type="dxa" w:w="153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Handover</w:t>
            </w:r>
          </w:p>
        </w:tc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Transfer open actions, document ownership and governance cadence to routine operations.</w:t>
            </w:r>
          </w:p>
        </w:tc>
        <w:tc>
          <w:tcPr>
            <w:tcW w:type="dxa" w:w="21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Project Lead / Process Owners</w:t>
            </w:r>
          </w:p>
        </w:tc>
        <w:tc>
          <w:tcPr>
            <w:tcW w:type="dxa" w:w="368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Handover record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P-031</w:t>
            </w:r>
          </w:p>
        </w:tc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204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4"/>
              </w:rPr>
              <w:t>Example: Planned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6. Project Controls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Weekly implementation review: progress, blockers, decisions, overdue evidence and next-week priorities.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Monthly sponsor review: major risks, resourcing, cross-functional barriers and readiness trajectory.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Controlled change: significant changes to scope, methods, equipment, LIS or service model should be evaluated for project and LQMS impact.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Evidence acceptance: a task is not complete until the required controlled document, record, training or verification evidence exists.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Escalation: patient-safety risks, serious competence gaps or inability to assure result reliability should be escalated immediately rather than deferred to routine project governance.</w:t>
      </w:r>
    </w:p>
    <w:p>
      <w:pPr>
        <w:pStyle w:val="Heading1"/>
        <w:spacing w:before="140" w:after="80"/>
        <w:keepNext/>
      </w:pPr>
      <w:r>
        <w:t>7. Project Completion and Handover</w:t>
      </w:r>
    </w:p>
    <w:tbl>
      <w:tblPr>
        <w:tblStyle w:val="TableGrid"/>
        <w:tblW w:type="auto" w:w="0"/>
        <w:jc w:val="center"/>
        <w:tblLook w:val="04A0"/>
      </w:tblPr>
      <w:tblGrid>
        <w:gridCol w:w="7143"/>
        <w:gridCol w:w="7143"/>
      </w:tblGrid>
      <w:tr>
        <w:trPr>
          <w:tblHeader w:val="true"/>
          <w:cantSplit/>
        </w:trPr>
        <w:tc>
          <w:tcPr>
            <w:tcW w:type="dxa" w:w="396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Completion criterion</w:t>
            </w:r>
          </w:p>
        </w:tc>
        <w:tc>
          <w:tcPr>
            <w:tcW w:type="dxa" w:w="9354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Expected evidence</w:t>
            </w:r>
          </w:p>
        </w:tc>
      </w:tr>
      <w:tr>
        <w:trPr>
          <w:cantSplit/>
        </w:trPr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Governance embedded</w:t>
            </w:r>
          </w:p>
        </w:tc>
        <w:tc>
          <w:tcPr>
            <w:tcW w:type="dxa" w:w="93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scope, policy, roles and routine governance calendar.</w:t>
            </w:r>
          </w:p>
        </w:tc>
      </w:tr>
      <w:tr>
        <w:trPr>
          <w:cantSplit/>
        </w:trPr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Technical controls operational</w:t>
            </w:r>
          </w:p>
        </w:tc>
        <w:tc>
          <w:tcPr>
            <w:tcW w:type="dxa" w:w="93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procedures, competent authorized staff and representative technical records.</w:t>
            </w:r>
          </w:p>
        </w:tc>
      </w:tr>
      <w:tr>
        <w:trPr>
          <w:cantSplit/>
        </w:trPr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Performance controls active</w:t>
            </w:r>
          </w:p>
        </w:tc>
        <w:tc>
          <w:tcPr>
            <w:tcW w:type="dxa" w:w="93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Indicators, QC/EQA review, nonconformity/CAPA, complaint and risk records.</w:t>
            </w:r>
          </w:p>
        </w:tc>
      </w:tr>
      <w:tr>
        <w:trPr>
          <w:cantSplit/>
        </w:trPr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Assurance completed</w:t>
            </w:r>
          </w:p>
        </w:tc>
        <w:tc>
          <w:tcPr>
            <w:tcW w:type="dxa" w:w="93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Internal audit and management review completed with significant actions controlled.</w:t>
            </w:r>
          </w:p>
        </w:tc>
      </w:tr>
      <w:tr>
        <w:trPr>
          <w:cantSplit/>
        </w:trPr>
        <w:tc>
          <w:tcPr>
            <w:tcW w:type="dxa" w:w="396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Ownership transferred</w:t>
            </w:r>
          </w:p>
        </w:tc>
        <w:tc>
          <w:tcPr>
            <w:tcW w:type="dxa" w:w="935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Named owners, review frequencies and outstanding actions accepted into business-as-usual governance.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References</w:t>
      </w:r>
    </w:p>
    <w:tbl>
      <w:tblPr>
        <w:tblStyle w:val="TableGrid"/>
        <w:tblW w:type="auto" w:w="0"/>
        <w:jc w:val="center"/>
        <w:tblLook w:val="04A0"/>
      </w:tblPr>
      <w:tblGrid>
        <w:gridCol w:w="4762"/>
        <w:gridCol w:w="4762"/>
        <w:gridCol w:w="4762"/>
      </w:tblGrid>
      <w:tr>
        <w:trPr>
          <w:tblHeader w:val="true"/>
          <w:cantSplit/>
        </w:trPr>
        <w:tc>
          <w:tcPr>
            <w:tcW w:type="dxa" w:w="192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Reference</w:t>
            </w:r>
          </w:p>
        </w:tc>
        <w:tc>
          <w:tcPr>
            <w:tcW w:type="dxa" w:w="5216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Title</w:t>
            </w:r>
          </w:p>
        </w:tc>
        <w:tc>
          <w:tcPr>
            <w:tcW w:type="dxa" w:w="351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15189:2022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Medical laboratories — Requirements for quality and competence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https://www.iso.org/standard/76677.html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20658:2023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Requirements for the collection and transport of samples for medical laboratory examinations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https://www.iso.org/standard/80035.html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22367:2026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Medical laboratories — Application of risk management to medical laboratories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https://www.iso.org/standard/87738.html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val="04A0"/>
      </w:tblPr>
      <w:tblGrid>
        <w:gridCol w:w="14287"/>
      </w:tblGrid>
      <w:tr>
        <w:trPr>
          <w:cantSplit/>
        </w:trPr>
        <w:tc>
          <w:tcPr>
            <w:tcW w:type="dxa" w:w="14287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Use the organization’s authorized copy of the applicable standard as the definitive reference. This document paraphrases requirements and does not reproduce the standard text.</w:t>
            </w:r>
          </w:p>
        </w:tc>
      </w:tr>
    </w:tbl>
    <w:p>
      <w:pPr>
        <w:spacing w:after="20"/>
      </w:pPr>
    </w:p>
    <w:p>
      <w:pPr>
        <w:pStyle w:val="Heading1"/>
        <w:spacing w:before="140" w:after="80"/>
        <w:keepNext/>
      </w:pPr>
      <w:r>
        <w:t>Revision and Approval</w:t>
      </w:r>
    </w:p>
    <w:tbl>
      <w:tblPr>
        <w:tblStyle w:val="TableGrid"/>
        <w:tblW w:type="auto" w:w="0"/>
        <w:jc w:val="center"/>
        <w:tblLook w:val="04A0"/>
      </w:tblPr>
      <w:tblGrid>
        <w:gridCol w:w="3572"/>
        <w:gridCol w:w="3572"/>
        <w:gridCol w:w="3572"/>
        <w:gridCol w:w="3572"/>
      </w:tblGrid>
      <w:tr>
        <w:trPr>
          <w:tblHeader w:val="true"/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Description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Approval Status</w:t>
            </w:r>
          </w:p>
        </w:tc>
      </w:tr>
      <w:tr>
        <w:trPr>
          <w:cantSplit/>
        </w:trPr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2026-09-19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Initial issue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/ [STATUS]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3572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Approval Date</w:t>
            </w:r>
          </w:p>
        </w:tc>
      </w:tr>
      <w:tr>
        <w:trPr>
          <w:cantSplit/>
        </w:trPr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[DOCUMENT OWNER]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[REVIEWER]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[APPROVER]</w:t>
            </w:r>
          </w:p>
        </w:tc>
        <w:tc>
          <w:tcPr>
            <w:tcW w:type="dxa" w:w="35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jc w:val="center"/>
    </w:pPr>
    <w:r>
      <w:rPr>
        <w:rFonts w:ascii="Cambria" w:hAnsi="Cambria"/>
        <w:b w:val="0"/>
        <w:i w:val="0"/>
        <w:color w:val="666666"/>
        <w:sz w:val="16"/>
      </w:rPr>
      <w:t>ISO TOOLKITS DOCUMENT | www.iso-toolkits.org | info@iso-toolkits.org | INTERNAL</w:t>
    </w:r>
  </w:p>
  <w:p>
    <w:pPr>
      <w:jc w:val="center"/>
    </w:pPr>
    <w:r>
      <w:rPr>
        <w:rFonts w:ascii="Cambria" w:hAnsi="Cambria"/>
        <w:color w:val="666666"/>
        <w:sz w:val="16"/>
      </w:rPr>
      <w:t xml:space="preserve">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</w:pPr>
  </w:p>
  <w:tbl>
    <w:tblPr>
      <w:tblW w:type="auto" w:w="0"/>
      <w:jc w:val="center"/>
      <w:tblLook w:val="04A0"/>
    </w:tblPr>
    <w:tblGrid>
      <w:gridCol w:w="4762"/>
      <w:gridCol w:w="4762"/>
      <w:gridCol w:w="4762"/>
    </w:tblGrid>
    <w:tr>
      <w:tc>
        <w:tcPr>
          <w:tcW w:type="dxa" w:w="1587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 w:val="0"/>
              <w:i w:val="0"/>
              <w:color w:val="000000"/>
              <w:sz w:val="16"/>
            </w:rPr>
            <w:t>ORGANIZATION</w:t>
            <w:br/>
            <w:t>LOGO</w:t>
          </w:r>
        </w:p>
      </w:tc>
      <w:tc>
        <w:tcPr>
          <w:tcW w:type="dxa" w:w="6520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shd w:fill="EAF3F8" w:val="clear"/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/>
              <w:i w:val="0"/>
              <w:color w:val="1F4E79"/>
              <w:sz w:val="16"/>
            </w:rPr>
            <w:t>[ORGANIZATION NAME]</w:t>
            <w:br/>
            <w:t>Laboratory Quality Implementation Project Plan</w:t>
          </w:r>
        </w:p>
      </w:tc>
      <w:tc>
        <w:tcPr>
          <w:tcW w:type="dxa" w:w="2835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 w:val="0"/>
              <w:i w:val="0"/>
              <w:color w:val="000000"/>
              <w:sz w:val="16"/>
            </w:rPr>
            <w:t>LQMS-PLN-001</w:t>
            <w:br/>
            <w:t>Version 1.0</w:t>
            <w:br/>
            <w:t>2026-09-19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mbria" w:hAnsi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Quality Implementation Project Plan</dc:title>
  <dc:subject>ISO 15189:2022 — Medical laboratories — Requirements for quality and competence toolkit document</dc:subject>
  <dc:creator>ISO Toolkits</dc:creator>
  <cp:keywords>ISO 15189, medical laboratory, LQMS, quality, competence, accreditation</cp:keywords>
  <dc:description>Professional ISO 15189 toolkit document. Website: www.iso-toolkits.org; Email: info@iso-toolkits.org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