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480" w:after="160"/>
        <w:jc w:val="center"/>
      </w:pPr>
      <w:r>
        <w:rPr>
          <w:rFonts w:ascii="Cambria" w:hAnsi="Cambria" w:eastAsia="Cambria"/>
          <w:b/>
          <w:i w:val="0"/>
          <w:color w:val="1F4E79"/>
          <w:sz w:val="40"/>
        </w:rPr>
        <w:t>Laboratory Management Review Procedure</w:t>
      </w:r>
    </w:p>
    <w:p>
      <w:pPr>
        <w:spacing w:after="360"/>
        <w:jc w:val="center"/>
      </w:pPr>
      <w:r>
        <w:rPr>
          <w:rFonts w:ascii="Cambria" w:hAnsi="Cambria" w:eastAsia="Cambria"/>
          <w:b/>
          <w:i w:val="0"/>
          <w:color w:val="000000"/>
          <w:sz w:val="22"/>
        </w:rPr>
        <w:t>ISO 15189:2022 | Procedure</w:t>
      </w:r>
    </w:p>
    <w:tbl>
      <w:tblPr>
        <w:tblStyle w:val="TableGrid"/>
        <w:tblW w:type="auto" w:w="0"/>
        <w:jc w:val="center"/>
        <w:tblLook w:val="04A0"/>
      </w:tblPr>
      <w:tblGrid>
        <w:gridCol w:w="2339"/>
        <w:gridCol w:w="2339"/>
        <w:gridCol w:w="2339"/>
        <w:gridCol w:w="2339"/>
      </w:tblGrid>
      <w:tr>
        <w:trPr>
          <w:tblHeader w:val="true"/>
        </w:trPr>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c>
          <w:tcPr>
            <w:tcW w:type="dxa" w:w="158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Field</w:t>
            </w:r>
          </w:p>
        </w:tc>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Value</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Code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LQMS-PRO-002</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Version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Effective Date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2026-09-19</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Classification</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INTERNAL</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Document Owner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[QUALITY MANAGER]</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Approver</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[LABORATORY DIRECTOR]</w:t>
            </w:r>
          </w:p>
        </w:tc>
      </w:tr>
      <w:tr>
        <w:trPr>
          <w:cantSplit/>
        </w:trPr>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Review Cycle</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[ANNUAL / UPON CHANGE]</w:t>
            </w:r>
          </w:p>
        </w:tc>
        <w:tc>
          <w:tcPr>
            <w:tcW w:type="dxa" w:w="158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w:t>
            </w:r>
          </w:p>
        </w:tc>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[NEXT REVIEW DATE]</w:t>
            </w:r>
          </w:p>
        </w:tc>
      </w:tr>
    </w:tbl>
    <w:p>
      <w:pPr>
        <w:spacing w:before="0" w:after="0" w:line="252" w:lineRule="auto"/>
      </w:pP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Replace organization-specific placeholders before controlled release.</w:t>
            </w:r>
          </w:p>
        </w:tc>
      </w:tr>
    </w:tbl>
    <w:p>
      <w:pPr>
        <w:jc w:val="center"/>
      </w:pPr>
      <w:r>
        <w:rPr>
          <w:rFonts w:ascii="Cambria" w:hAnsi="Cambria" w:eastAsia="Cambria"/>
          <w:b/>
          <w:i w:val="0"/>
          <w:color w:val="666666"/>
          <w:sz w:val="17"/>
        </w:rPr>
        <w:t>ISO TOOLKITS DOCUMENT</w:t>
      </w:r>
    </w:p>
    <w:p>
      <w:pPr>
        <w:jc w:val="center"/>
      </w:pPr>
      <w:r>
        <w:rPr>
          <w:rFonts w:ascii="Calibri" w:hAnsi="Calibri" w:eastAsia="Calibri"/>
          <w:b w:val="0"/>
          <w:i w:val="0"/>
          <w:color w:val="666666"/>
          <w:sz w:val="17"/>
        </w:rPr>
        <w:t>www.iso-toolkits.org | info@iso-toolkits.org</w:t>
      </w:r>
    </w:p>
    <w:p>
      <w:r>
        <w:br w:type="page"/>
      </w:r>
    </w:p>
    <w:p>
      <w:pPr>
        <w:keepNext/>
        <w:spacing w:before="180" w:after="80"/>
        <w:pBdr>
          <w:bottom w:val="single" w:sz="8" w:space="2" w:color="D9EAF7"/>
        </w:pBdr>
      </w:pPr>
      <w:r>
        <w:rPr>
          <w:rFonts w:ascii="Cambria" w:hAnsi="Cambria" w:eastAsia="Cambria"/>
          <w:b/>
          <w:i w:val="0"/>
          <w:color w:val="000000"/>
          <w:sz w:val="25"/>
        </w:rPr>
        <w:t>1. Purpose</w:t>
      </w:r>
    </w:p>
    <w:p>
      <w:pPr>
        <w:spacing w:before="0" w:after="80" w:line="252" w:lineRule="auto"/>
      </w:pPr>
      <w:r>
        <w:rPr>
          <w:rFonts w:ascii="Cambria" w:hAnsi="Cambria" w:eastAsia="Cambria"/>
          <w:b w:val="0"/>
          <w:i w:val="0"/>
          <w:color w:val="000000"/>
          <w:sz w:val="21"/>
        </w:rPr>
        <w:t>To ensure that laboratory leadership periodically reviews the continuing suitability, adequacy and effectiveness of the laboratory management system and makes evidence-based decisions on quality, competence, patient care, risks, resources and improvement.</w:t>
      </w:r>
    </w:p>
    <w:p>
      <w:pPr>
        <w:keepNext/>
        <w:spacing w:before="180" w:after="80"/>
        <w:pBdr>
          <w:bottom w:val="single" w:sz="8" w:space="2" w:color="D9EAF7"/>
        </w:pBdr>
      </w:pPr>
      <w:r>
        <w:rPr>
          <w:rFonts w:ascii="Cambria" w:hAnsi="Cambria" w:eastAsia="Cambria"/>
          <w:b/>
          <w:i w:val="0"/>
          <w:color w:val="000000"/>
          <w:sz w:val="25"/>
        </w:rPr>
        <w:t>2. Scope</w:t>
      </w:r>
    </w:p>
    <w:p>
      <w:pPr>
        <w:spacing w:before="0" w:after="80" w:line="252" w:lineRule="auto"/>
      </w:pPr>
      <w:r>
        <w:rPr>
          <w:rFonts w:ascii="Cambria" w:hAnsi="Cambria" w:eastAsia="Cambria"/>
          <w:b w:val="0"/>
          <w:i w:val="0"/>
          <w:color w:val="000000"/>
          <w:sz w:val="21"/>
        </w:rPr>
        <w:t>This procedure applies to the formal management review of the laboratory management system, including technical and management processes within the laboratory scope and POCT governance where applicable.</w:t>
      </w:r>
    </w:p>
    <w:p>
      <w:pPr>
        <w:keepNext/>
        <w:spacing w:before="180" w:after="80"/>
        <w:pBdr>
          <w:bottom w:val="single" w:sz="8" w:space="2" w:color="D9EAF7"/>
        </w:pBdr>
      </w:pPr>
      <w:r>
        <w:rPr>
          <w:rFonts w:ascii="Cambria" w:hAnsi="Cambria" w:eastAsia="Cambria"/>
          <w:b/>
          <w:i w:val="0"/>
          <w:color w:val="000000"/>
          <w:sz w:val="25"/>
        </w:rPr>
        <w:t>3. Responsibilities</w:t>
      </w:r>
    </w:p>
    <w:tbl>
      <w:tblPr>
        <w:tblStyle w:val="TableGrid"/>
        <w:tblW w:type="auto" w:w="0"/>
        <w:jc w:val="center"/>
        <w:tblLook w:val="04A0"/>
      </w:tblPr>
      <w:tblGrid>
        <w:gridCol w:w="4677"/>
        <w:gridCol w:w="4677"/>
      </w:tblGrid>
      <w:tr>
        <w:trPr>
          <w:tblHeader w:val="true"/>
        </w:trPr>
        <w:tc>
          <w:tcPr>
            <w:tcW w:type="dxa" w:w="311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Role</w:t>
            </w:r>
          </w:p>
        </w:tc>
        <w:tc>
          <w:tcPr>
            <w:tcW w:type="dxa" w:w="5953"/>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Responsibility</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Laboratory Director / Top Management</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Chairs or sponsors the review, evaluates strategic issues and approves key decisions and resources.</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Quality Manager</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Coordinates the review cycle, prepares the review pack, records decisions and tracks actions.</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Technical / Section Heads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Provide performance data, significant technical issues, resource needs and improvement proposals.</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Process Owners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Report on objectives, indicators, risks, incidents, complaints, corrective actions and changes.</w:t>
            </w:r>
          </w:p>
        </w:tc>
      </w:tr>
      <w:tr>
        <w:trPr>
          <w:cantSplit/>
        </w:trPr>
        <w:tc>
          <w:tcPr>
            <w:tcW w:type="dxa" w:w="311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Finance / HR / IT / Procurement representatives</w:t>
            </w:r>
          </w:p>
        </w:tc>
        <w:tc>
          <w:tcPr>
            <w:tcW w:type="dxa" w:w="595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Provide supporting information where resource, workforce, systems or supplier matters are relevant.</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4. Review Frequency and Scheduling</w:t>
      </w:r>
    </w:p>
    <w:p>
      <w:pPr>
        <w:spacing w:before="0" w:after="80" w:line="252" w:lineRule="auto"/>
      </w:pPr>
      <w:r>
        <w:rPr>
          <w:rFonts w:ascii="Cambria" w:hAnsi="Cambria" w:eastAsia="Cambria"/>
          <w:b w:val="0"/>
          <w:i w:val="0"/>
          <w:color w:val="000000"/>
          <w:sz w:val="21"/>
        </w:rPr>
        <w:t>The laboratory defines a review frequency sufficient to maintain effective governance and respond to significant changes. Formal reviews may be supported by interim quality or performance meetings, provided the required information and decisions are consolidated and traceable.</w:t>
      </w:r>
    </w:p>
    <w:tbl>
      <w:tblPr>
        <w:tblW w:type="auto" w:w="0"/>
        <w:jc w:val="center"/>
        <w:tblLook w:val="04A0"/>
      </w:tblPr>
      <w:tblGrid>
        <w:gridCol w:w="9355"/>
      </w:tblGrid>
      <w:tr>
        <w:tc>
          <w:tcPr>
            <w:tcW w:type="dxa" w:w="9355"/>
            <w:shd w:fill="FFF2CC"/>
            <w:tcBorders>
              <w:top w:val="single" w:sz="4" w:space="0" w:color="D6B656"/>
              <w:left w:val="single" w:sz="4" w:space="0" w:color="D6B656"/>
              <w:bottom w:val="single" w:sz="4" w:space="0" w:color="D6B656"/>
              <w:right w:val="single" w:sz="4" w:space="0" w:color="D6B656"/>
            </w:tcBorders>
            <w:tcMar>
              <w:top w:w="80" w:type="dxa"/>
              <w:left w:w="100" w:type="dxa"/>
              <w:bottom w:w="80" w:type="dxa"/>
              <w:right w:w="100" w:type="dxa"/>
            </w:tcMar>
          </w:tcPr>
          <w:p>
            <w:pPr>
              <w:spacing w:before="0" w:after="0" w:line="252" w:lineRule="auto"/>
            </w:pPr>
            <w:r>
              <w:rPr>
                <w:rFonts w:ascii="Cambria" w:hAnsi="Cambria" w:eastAsia="Cambria"/>
                <w:b w:val="0"/>
                <w:i/>
                <w:color w:val="C00000"/>
                <w:sz w:val="19"/>
              </w:rPr>
              <w:t>[Note] Do not defer a significant patient-safety, competence, quality-control or resource issue until the next scheduled management review. Escalate it through the laboratory's normal governance process.</w:t>
            </w:r>
          </w:p>
        </w:tc>
      </w:tr>
    </w:tbl>
    <w:p>
      <w:pPr>
        <w:keepNext/>
        <w:spacing w:before="180" w:after="80"/>
        <w:pBdr>
          <w:bottom w:val="single" w:sz="8" w:space="2" w:color="D9EAF7"/>
        </w:pBdr>
      </w:pPr>
      <w:r>
        <w:rPr>
          <w:rFonts w:ascii="Cambria" w:hAnsi="Cambria" w:eastAsia="Cambria"/>
          <w:b/>
          <w:i w:val="0"/>
          <w:color w:val="000000"/>
          <w:sz w:val="25"/>
        </w:rPr>
        <w:t>5. Procedure</w:t>
      </w:r>
    </w:p>
    <w:tbl>
      <w:tblPr>
        <w:tblStyle w:val="TableGrid"/>
        <w:tblW w:type="auto" w:w="0"/>
        <w:jc w:val="center"/>
        <w:tblLook w:val="04A0"/>
      </w:tblPr>
      <w:tblGrid>
        <w:gridCol w:w="2339"/>
        <w:gridCol w:w="2339"/>
        <w:gridCol w:w="2339"/>
        <w:gridCol w:w="2339"/>
      </w:tblGrid>
      <w:tr>
        <w:trPr>
          <w:tblHeader w:val="true"/>
        </w:trPr>
        <w:tc>
          <w:tcPr>
            <w:tcW w:type="dxa" w:w="73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Step</w:t>
            </w:r>
          </w:p>
        </w:tc>
        <w:tc>
          <w:tcPr>
            <w:tcW w:type="dxa" w:w="255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Responsible</w:t>
            </w:r>
          </w:p>
        </w:tc>
        <w:tc>
          <w:tcPr>
            <w:tcW w:type="dxa" w:w="4535"/>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Activity</w:t>
            </w:r>
          </w:p>
        </w:tc>
        <w:tc>
          <w:tcPr>
            <w:tcW w:type="dxa" w:w="215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Output / Record</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1</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Quality Manager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Set the review date, participants, agenda, reporting period and required data owners.</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Review schedule / agenda</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2</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Quality Manager + Process Owners</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Collect the review inputs and verify the completeness and reliability of the data pack.</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Management review pack</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3</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Laboratory Director / Chair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Confirm quorum, purpose, prior-action status and significant changes since the last review.</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Opening record</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4</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Data / Process Owners</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Present concise performance information, trends, exceptions, risks and unresolved actions rather than raw data only.</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Reviewed inputs / decisions</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5</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Review Team</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Evaluate whether controls remain suitable, resources are adequate, quality objectives are progressing and risks/opportunities are addressed.</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Meeting conclusions</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6</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Chair / Review Team</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Make decisions on improvements, system changes, resources, objectives, risk treatment, competence, technology or process priorities.</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Decision log</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7</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Quality Manager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Record actions with owner, due date, required evidence and escalation status.</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Action log</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8</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Chair / Quality Manager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Review and approve minutes so decisions are accurate and traceable.</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Approved minutes</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9</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Action Owners</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Implement assigned actions and provide closure evidence.</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Action evidence</w:t>
            </w:r>
          </w:p>
        </w:tc>
      </w:tr>
      <w:tr>
        <w:trPr>
          <w:cantSplit/>
        </w:trPr>
        <w:tc>
          <w:tcPr>
            <w:tcW w:type="dxa" w:w="73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10</w:t>
            </w:r>
          </w:p>
        </w:tc>
        <w:tc>
          <w:tcPr>
            <w:tcW w:type="dxa" w:w="255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Quality Manager</w:t>
            </w:r>
          </w:p>
        </w:tc>
        <w:tc>
          <w:tcPr>
            <w:tcW w:type="dxa" w:w="45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Monitor overdue or blocked actions and escalate material delays. Report status at subsequent governance meetings.</w:t>
            </w:r>
          </w:p>
        </w:tc>
        <w:tc>
          <w:tcPr>
            <w:tcW w:type="dxa" w:w="215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Follow-up record</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6. Management Review Input Matrix</w:t>
      </w:r>
    </w:p>
    <w:tbl>
      <w:tblPr>
        <w:tblStyle w:val="TableGrid"/>
        <w:tblW w:type="auto" w:w="0"/>
        <w:jc w:val="center"/>
        <w:tblLook w:val="04A0"/>
      </w:tblPr>
      <w:tblGrid>
        <w:gridCol w:w="4677"/>
        <w:gridCol w:w="4677"/>
      </w:tblGrid>
      <w:tr>
        <w:trPr>
          <w:tblHeader w:val="true"/>
        </w:trPr>
        <w:tc>
          <w:tcPr>
            <w:tcW w:type="dxa" w:w="2835"/>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Input area</w:t>
            </w:r>
          </w:p>
        </w:tc>
        <w:tc>
          <w:tcPr>
            <w:tcW w:type="dxa" w:w="6236"/>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7"/>
              </w:rPr>
              <w:t>Review focus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Previous review actions</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Completion, effectiveness, overdue actions and unresolved decisions.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Changes</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Internal/external issues, service scope, workload, technology, facilities, personnel, methods, regulatory/accreditation expectations.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Quality policy and objectives</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Continuing suitability and progress against objectives / indicators.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Quality indicators and performance</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Trends, exceptions, turnaround, specimen quality, reporting performance and other approved indicators.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Internal audits and external assessments</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Findings, themes, significant risks, repeat findings and closure status.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Nonconformities / incidents</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Trends, recurrent causes, significant events, patient/result impact and corrective-action effectiveness.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Complaints and feedback</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User feedback, complaints, compliments and service improvement themes.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Examination performance</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IQC/EQA or equivalent performance, method/measurement issues and technical quality concerns.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Resources and competence</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Staffing, competence, workload, equipment, facilities, LIS/IT, supplies and financial constraints.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Referral / external providers</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Performance of referral laboratories, suppliers or external services where relevant.</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Risk and opportunities</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7"/>
              </w:rPr>
              <w:t>Significant risks, risk controls, new opportunities and effectiveness of actions.</w:t>
            </w:r>
          </w:p>
        </w:tc>
      </w:tr>
      <w:tr>
        <w:trPr>
          <w:cantSplit/>
        </w:trPr>
        <w:tc>
          <w:tcPr>
            <w:tcW w:type="dxa" w:w="2835"/>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Improvement activities</w:t>
            </w:r>
          </w:p>
        </w:tc>
        <w:tc>
          <w:tcPr>
            <w:tcW w:type="dxa" w:w="6236"/>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7"/>
              </w:rPr>
              <w:t>Completed projects, benefits, lessons learned and priorities for the next period.</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7. Required Outputs</w:t>
      </w:r>
    </w:p>
    <w:p>
      <w:pPr>
        <w:pStyle w:val="ListBullet"/>
        <w:spacing w:before="0" w:after="40" w:line="252" w:lineRule="auto"/>
      </w:pPr>
      <w:r>
        <w:rPr>
          <w:rFonts w:ascii="Cambria" w:hAnsi="Cambria" w:eastAsia="Cambria"/>
          <w:b w:val="0"/>
          <w:i w:val="0"/>
          <w:color w:val="000000"/>
          <w:sz w:val="20"/>
        </w:rPr>
        <w:t>Decisions on the effectiveness and improvement of the laboratory management system.</w:t>
      </w:r>
    </w:p>
    <w:p>
      <w:pPr>
        <w:pStyle w:val="ListBullet"/>
        <w:spacing w:before="0" w:after="40" w:line="252" w:lineRule="auto"/>
      </w:pPr>
      <w:r>
        <w:rPr>
          <w:rFonts w:ascii="Cambria" w:hAnsi="Cambria" w:eastAsia="Cambria"/>
          <w:b w:val="0"/>
          <w:i w:val="0"/>
          <w:color w:val="000000"/>
          <w:sz w:val="20"/>
        </w:rPr>
        <w:t>Changes needed to laboratory processes, services, controls, quality objectives or priorities.</w:t>
      </w:r>
    </w:p>
    <w:p>
      <w:pPr>
        <w:pStyle w:val="ListBullet"/>
        <w:spacing w:before="0" w:after="40" w:line="252" w:lineRule="auto"/>
      </w:pPr>
      <w:r>
        <w:rPr>
          <w:rFonts w:ascii="Cambria" w:hAnsi="Cambria" w:eastAsia="Cambria"/>
          <w:b w:val="0"/>
          <w:i w:val="0"/>
          <w:color w:val="000000"/>
          <w:sz w:val="20"/>
        </w:rPr>
        <w:t>Resource decisions covering personnel, competence, equipment, information systems, facilities or external services.</w:t>
      </w:r>
    </w:p>
    <w:p>
      <w:pPr>
        <w:pStyle w:val="ListBullet"/>
        <w:spacing w:before="0" w:after="40" w:line="252" w:lineRule="auto"/>
      </w:pPr>
      <w:r>
        <w:rPr>
          <w:rFonts w:ascii="Cambria" w:hAnsi="Cambria" w:eastAsia="Cambria"/>
          <w:b w:val="0"/>
          <w:i w:val="0"/>
          <w:color w:val="000000"/>
          <w:sz w:val="20"/>
        </w:rPr>
        <w:t>Actions to address significant risk, recurring quality problems or patient-safety concerns.</w:t>
      </w:r>
    </w:p>
    <w:p>
      <w:pPr>
        <w:pStyle w:val="ListBullet"/>
        <w:spacing w:before="0" w:after="40" w:line="252" w:lineRule="auto"/>
      </w:pPr>
      <w:r>
        <w:rPr>
          <w:rFonts w:ascii="Cambria" w:hAnsi="Cambria" w:eastAsia="Cambria"/>
          <w:b w:val="0"/>
          <w:i w:val="0"/>
          <w:color w:val="000000"/>
          <w:sz w:val="20"/>
        </w:rPr>
        <w:t>Assigned actions with owners, due dates, evidence and follow-up requirements.</w:t>
      </w:r>
    </w:p>
    <w:p>
      <w:pPr>
        <w:keepNext/>
        <w:spacing w:before="180" w:after="80"/>
        <w:pBdr>
          <w:bottom w:val="single" w:sz="8" w:space="2" w:color="D9EAF7"/>
        </w:pBdr>
      </w:pPr>
      <w:r>
        <w:rPr>
          <w:rFonts w:ascii="Cambria" w:hAnsi="Cambria" w:eastAsia="Cambria"/>
          <w:b/>
          <w:i w:val="0"/>
          <w:color w:val="000000"/>
          <w:sz w:val="25"/>
        </w:rPr>
        <w:t>8. Escalation</w:t>
      </w:r>
    </w:p>
    <w:tbl>
      <w:tblPr>
        <w:tblStyle w:val="TableGrid"/>
        <w:tblW w:type="auto" w:w="0"/>
        <w:jc w:val="center"/>
        <w:tblLook w:val="04A0"/>
      </w:tblPr>
      <w:tblGrid>
        <w:gridCol w:w="4677"/>
        <w:gridCol w:w="4677"/>
      </w:tblGrid>
      <w:tr>
        <w:trPr>
          <w:tblHeader w:val="true"/>
        </w:trPr>
        <w:tc>
          <w:tcPr>
            <w:tcW w:type="dxa" w:w="3288"/>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Condition</w:t>
            </w:r>
          </w:p>
        </w:tc>
        <w:tc>
          <w:tcPr>
            <w:tcW w:type="dxa" w:w="5783"/>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Response</w:t>
            </w:r>
          </w:p>
        </w:tc>
      </w:tr>
      <w:tr>
        <w:trPr>
          <w:cantSplit/>
        </w:trPr>
        <w:tc>
          <w:tcPr>
            <w:tcW w:type="dxa" w:w="328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Immediate patient-safety / result-integrity concern</w:t>
            </w:r>
          </w:p>
        </w:tc>
        <w:tc>
          <w:tcPr>
            <w:tcW w:type="dxa" w:w="578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Apply immediate containment and leadership escalation; do not wait for routine review closure.</w:t>
            </w:r>
          </w:p>
        </w:tc>
      </w:tr>
      <w:tr>
        <w:trPr>
          <w:cantSplit/>
        </w:trPr>
        <w:tc>
          <w:tcPr>
            <w:tcW w:type="dxa" w:w="328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Resource constraint threatens service quality</w:t>
            </w:r>
          </w:p>
        </w:tc>
        <w:tc>
          <w:tcPr>
            <w:tcW w:type="dxa" w:w="578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Document risk, interim controls and decision required from authorized leadership.</w:t>
            </w:r>
          </w:p>
        </w:tc>
      </w:tr>
      <w:tr>
        <w:trPr>
          <w:cantSplit/>
        </w:trPr>
        <w:tc>
          <w:tcPr>
            <w:tcW w:type="dxa" w:w="328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Repeat finding or ineffective corrective action</w:t>
            </w:r>
          </w:p>
        </w:tc>
        <w:tc>
          <w:tcPr>
            <w:tcW w:type="dxa" w:w="578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Require deeper cause evaluation and system-level corrective action.</w:t>
            </w:r>
          </w:p>
        </w:tc>
      </w:tr>
      <w:tr>
        <w:trPr>
          <w:cantSplit/>
        </w:trPr>
        <w:tc>
          <w:tcPr>
            <w:tcW w:type="dxa" w:w="3288"/>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Overdue high-priority management-review action</w:t>
            </w:r>
          </w:p>
        </w:tc>
        <w:tc>
          <w:tcPr>
            <w:tcW w:type="dxa" w:w="5783"/>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shd w:fill="FAFCFD"/>
          </w:tcPr>
          <w:p>
            <w:pPr>
              <w:spacing w:before="0" w:after="0" w:line="252" w:lineRule="auto"/>
            </w:pPr>
            <w:r>
              <w:rPr>
                <w:rFonts w:ascii="Cambria" w:hAnsi="Cambria" w:eastAsia="Cambria"/>
                <w:b w:val="0"/>
                <w:i w:val="0"/>
                <w:color w:val="000000"/>
                <w:sz w:val="18"/>
              </w:rPr>
              <w:t>Escalate to the chair / Laboratory Director and record the revised decision.</w:t>
            </w:r>
          </w:p>
        </w:tc>
      </w:tr>
    </w:tbl>
    <w:p>
      <w:pPr>
        <w:spacing w:before="0" w:after="0" w:line="252" w:lineRule="auto"/>
      </w:pPr>
    </w:p>
    <w:p>
      <w:pPr>
        <w:keepNext/>
        <w:spacing w:before="180" w:after="80"/>
        <w:pBdr>
          <w:bottom w:val="single" w:sz="8" w:space="2" w:color="D9EAF7"/>
        </w:pBdr>
      </w:pPr>
      <w:r>
        <w:rPr>
          <w:rFonts w:ascii="Cambria" w:hAnsi="Cambria" w:eastAsia="Cambria"/>
          <w:b/>
          <w:i w:val="0"/>
          <w:color w:val="000000"/>
          <w:sz w:val="25"/>
        </w:rPr>
        <w:t>9. Records</w:t>
      </w:r>
    </w:p>
    <w:p>
      <w:pPr>
        <w:pStyle w:val="ListBullet"/>
        <w:spacing w:before="0" w:after="40" w:line="252" w:lineRule="auto"/>
      </w:pPr>
      <w:r>
        <w:rPr>
          <w:rFonts w:ascii="Cambria" w:hAnsi="Cambria" w:eastAsia="Cambria"/>
          <w:b w:val="0"/>
          <w:i w:val="0"/>
          <w:color w:val="000000"/>
          <w:sz w:val="20"/>
        </w:rPr>
        <w:t>Approved agenda and review pack</w:t>
      </w:r>
    </w:p>
    <w:p>
      <w:pPr>
        <w:pStyle w:val="ListBullet"/>
        <w:spacing w:before="0" w:after="40" w:line="252" w:lineRule="auto"/>
      </w:pPr>
      <w:r>
        <w:rPr>
          <w:rFonts w:ascii="Cambria" w:hAnsi="Cambria" w:eastAsia="Cambria"/>
          <w:b w:val="0"/>
          <w:i w:val="0"/>
          <w:color w:val="000000"/>
          <w:sz w:val="20"/>
        </w:rPr>
        <w:t>Attendance record</w:t>
      </w:r>
    </w:p>
    <w:p>
      <w:pPr>
        <w:pStyle w:val="ListBullet"/>
        <w:spacing w:before="0" w:after="40" w:line="252" w:lineRule="auto"/>
      </w:pPr>
      <w:r>
        <w:rPr>
          <w:rFonts w:ascii="Cambria" w:hAnsi="Cambria" w:eastAsia="Cambria"/>
          <w:b w:val="0"/>
          <w:i w:val="0"/>
          <w:color w:val="000000"/>
          <w:sz w:val="20"/>
        </w:rPr>
        <w:t>Management review minutes</w:t>
      </w:r>
    </w:p>
    <w:p>
      <w:pPr>
        <w:pStyle w:val="ListBullet"/>
        <w:spacing w:before="0" w:after="40" w:line="252" w:lineRule="auto"/>
      </w:pPr>
      <w:r>
        <w:rPr>
          <w:rFonts w:ascii="Cambria" w:hAnsi="Cambria" w:eastAsia="Cambria"/>
          <w:b w:val="0"/>
          <w:i w:val="0"/>
          <w:color w:val="000000"/>
          <w:sz w:val="20"/>
        </w:rPr>
        <w:t>Decision and action log</w:t>
      </w:r>
    </w:p>
    <w:p>
      <w:pPr>
        <w:pStyle w:val="ListBullet"/>
        <w:spacing w:before="0" w:after="40" w:line="252" w:lineRule="auto"/>
      </w:pPr>
      <w:r>
        <w:rPr>
          <w:rFonts w:ascii="Cambria" w:hAnsi="Cambria" w:eastAsia="Cambria"/>
          <w:b w:val="0"/>
          <w:i w:val="0"/>
          <w:color w:val="000000"/>
          <w:sz w:val="20"/>
        </w:rPr>
        <w:t>Supporting performance reports</w:t>
      </w:r>
    </w:p>
    <w:p>
      <w:pPr>
        <w:pStyle w:val="ListBullet"/>
        <w:spacing w:before="0" w:after="40" w:line="252" w:lineRule="auto"/>
      </w:pPr>
      <w:r>
        <w:rPr>
          <w:rFonts w:ascii="Cambria" w:hAnsi="Cambria" w:eastAsia="Cambria"/>
          <w:b w:val="0"/>
          <w:i w:val="0"/>
          <w:color w:val="000000"/>
          <w:sz w:val="20"/>
        </w:rPr>
        <w:t>Closure and effectiveness evidence</w:t>
      </w:r>
    </w:p>
    <w:p>
      <w:pPr>
        <w:keepNext/>
        <w:spacing w:before="180" w:after="80"/>
        <w:pBdr>
          <w:bottom w:val="single" w:sz="8" w:space="2" w:color="D9EAF7"/>
        </w:pBdr>
      </w:pPr>
      <w:r>
        <w:rPr>
          <w:rFonts w:ascii="Cambria" w:hAnsi="Cambria" w:eastAsia="Cambria"/>
          <w:b/>
          <w:i w:val="0"/>
          <w:color w:val="000000"/>
          <w:sz w:val="25"/>
        </w:rPr>
        <w:t>10. Related Documents</w:t>
      </w:r>
    </w:p>
    <w:p>
      <w:pPr>
        <w:pStyle w:val="ListBullet"/>
        <w:spacing w:before="0" w:after="40" w:line="252" w:lineRule="auto"/>
      </w:pPr>
      <w:r>
        <w:rPr>
          <w:rFonts w:ascii="Cambria" w:hAnsi="Cambria" w:eastAsia="Cambria"/>
          <w:b w:val="0"/>
          <w:i w:val="0"/>
          <w:color w:val="000000"/>
          <w:sz w:val="20"/>
        </w:rPr>
        <w:t>Laboratory Management Review Agenda &amp; Minutes</w:t>
      </w:r>
    </w:p>
    <w:p>
      <w:pPr>
        <w:pStyle w:val="ListBullet"/>
        <w:spacing w:before="0" w:after="40" w:line="252" w:lineRule="auto"/>
      </w:pPr>
      <w:r>
        <w:rPr>
          <w:rFonts w:ascii="Cambria" w:hAnsi="Cambria" w:eastAsia="Cambria"/>
          <w:b w:val="0"/>
          <w:i w:val="0"/>
          <w:color w:val="000000"/>
          <w:sz w:val="20"/>
        </w:rPr>
        <w:t>Quality Objectives &amp; Indicators</w:t>
      </w:r>
    </w:p>
    <w:p>
      <w:pPr>
        <w:pStyle w:val="ListBullet"/>
        <w:spacing w:before="0" w:after="40" w:line="252" w:lineRule="auto"/>
      </w:pPr>
      <w:r>
        <w:rPr>
          <w:rFonts w:ascii="Cambria" w:hAnsi="Cambria" w:eastAsia="Cambria"/>
          <w:b w:val="0"/>
          <w:i w:val="0"/>
          <w:color w:val="000000"/>
          <w:sz w:val="20"/>
        </w:rPr>
        <w:t>Internal Laboratory Audit Report</w:t>
      </w:r>
    </w:p>
    <w:p>
      <w:pPr>
        <w:pStyle w:val="ListBullet"/>
        <w:spacing w:before="0" w:after="40" w:line="252" w:lineRule="auto"/>
      </w:pPr>
      <w:r>
        <w:rPr>
          <w:rFonts w:ascii="Cambria" w:hAnsi="Cambria" w:eastAsia="Cambria"/>
          <w:b w:val="0"/>
          <w:i w:val="0"/>
          <w:color w:val="000000"/>
          <w:sz w:val="20"/>
        </w:rPr>
        <w:t>Nonconformity &amp; Corrective Action Procedure</w:t>
      </w:r>
    </w:p>
    <w:p>
      <w:pPr>
        <w:pStyle w:val="ListBullet"/>
        <w:spacing w:before="0" w:after="40" w:line="252" w:lineRule="auto"/>
      </w:pPr>
      <w:r>
        <w:rPr>
          <w:rFonts w:ascii="Cambria" w:hAnsi="Cambria" w:eastAsia="Cambria"/>
          <w:b w:val="0"/>
          <w:i w:val="0"/>
          <w:color w:val="000000"/>
          <w:sz w:val="20"/>
        </w:rPr>
        <w:t>Risk Management Procedure / Register</w:t>
      </w:r>
    </w:p>
    <w:p>
      <w:pPr>
        <w:pStyle w:val="ListBullet"/>
        <w:spacing w:before="0" w:after="40" w:line="252" w:lineRule="auto"/>
      </w:pPr>
      <w:r>
        <w:rPr>
          <w:rFonts w:ascii="Cambria" w:hAnsi="Cambria" w:eastAsia="Cambria"/>
          <w:b w:val="0"/>
          <w:i w:val="0"/>
          <w:color w:val="000000"/>
          <w:sz w:val="20"/>
        </w:rPr>
        <w:t>Laboratory Quality Management Manual</w:t>
      </w:r>
    </w:p>
    <w:p>
      <w:pPr>
        <w:keepNext/>
        <w:spacing w:before="180" w:after="80"/>
        <w:pBdr>
          <w:bottom w:val="single" w:sz="8" w:space="2" w:color="D9EAF7"/>
        </w:pBdr>
      </w:pPr>
      <w:r>
        <w:rPr>
          <w:rFonts w:ascii="Cambria" w:hAnsi="Cambria" w:eastAsia="Cambria"/>
          <w:b/>
          <w:i w:val="0"/>
          <w:color w:val="000000"/>
          <w:sz w:val="25"/>
        </w:rPr>
        <w:t>References</w:t>
      </w:r>
    </w:p>
    <w:p>
      <w:r>
        <w:rPr>
          <w:rFonts w:ascii="Cambria" w:hAnsi="Cambria" w:eastAsia="Cambria"/>
          <w:b/>
          <w:i w:val="0"/>
          <w:color w:val="000000"/>
          <w:sz w:val="19"/>
        </w:rPr>
        <w:t>ISO 15189:2022 — Medical laboratories — Requirements for quality and competence</w:t>
      </w:r>
    </w:p>
    <w:p>
      <w:pPr>
        <w:spacing w:after="60"/>
      </w:pPr>
      <w:r>
        <w:rPr>
          <w:rFonts w:ascii="Calibri" w:hAnsi="Calibri" w:eastAsia="Calibri"/>
          <w:b w:val="0"/>
          <w:i w:val="0"/>
          <w:color w:val="1F4E79"/>
          <w:sz w:val="18"/>
        </w:rPr>
        <w:t>https://www.iso.org/standard/76677.html</w:t>
      </w:r>
    </w:p>
    <w:p>
      <w:r>
        <w:rPr>
          <w:rFonts w:ascii="Cambria" w:hAnsi="Cambria" w:eastAsia="Cambria"/>
          <w:b/>
          <w:i w:val="0"/>
          <w:color w:val="000000"/>
          <w:sz w:val="19"/>
        </w:rPr>
        <w:t>ISO 22367:2026 — Medical laboratories — Application of risk management to medical laboratories</w:t>
      </w:r>
    </w:p>
    <w:p>
      <w:pPr>
        <w:spacing w:after="60"/>
      </w:pPr>
      <w:r>
        <w:rPr>
          <w:rFonts w:ascii="Calibri" w:hAnsi="Calibri" w:eastAsia="Calibri"/>
          <w:b w:val="0"/>
          <w:i w:val="0"/>
          <w:color w:val="1F4E79"/>
          <w:sz w:val="18"/>
        </w:rPr>
        <w:t>https://committee.iso.org/standard/87738.html</w:t>
      </w:r>
    </w:p>
    <w:p>
      <w:r>
        <w:rPr>
          <w:rFonts w:ascii="Cambria" w:hAnsi="Cambria" w:eastAsia="Cambria"/>
          <w:b w:val="0"/>
          <w:i/>
          <w:color w:val="666666"/>
          <w:sz w:val="19"/>
        </w:rPr>
        <w:t>Applicable national, regional, accreditation-body and regulatory requirements should also be incorporated where relevant to the laboratory.</w:t>
      </w:r>
    </w:p>
    <w:p>
      <w:pPr>
        <w:keepNext/>
        <w:spacing w:before="180" w:after="80"/>
        <w:pBdr>
          <w:bottom w:val="single" w:sz="8" w:space="2" w:color="D9EAF7"/>
        </w:pBdr>
      </w:pPr>
      <w:r>
        <w:rPr>
          <w:rFonts w:ascii="Cambria" w:hAnsi="Cambria" w:eastAsia="Cambria"/>
          <w:b/>
          <w:i w:val="0"/>
          <w:color w:val="000000"/>
          <w:sz w:val="25"/>
        </w:rPr>
        <w:t>Revision and Approval</w:t>
      </w:r>
    </w:p>
    <w:tbl>
      <w:tblPr>
        <w:tblStyle w:val="TableGrid"/>
        <w:tblW w:type="auto" w:w="0"/>
        <w:jc w:val="center"/>
        <w:tblLook w:val="04A0"/>
      </w:tblPr>
      <w:tblGrid>
        <w:gridCol w:w="3118"/>
        <w:gridCol w:w="3118"/>
        <w:gridCol w:w="3118"/>
      </w:tblGrid>
      <w:tr>
        <w:trPr>
          <w:tblHeader w:val="true"/>
        </w:trPr>
        <w:tc>
          <w:tcPr>
            <w:tcW w:type="dxa" w:w="1417"/>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Version</w:t>
            </w:r>
          </w:p>
        </w:tc>
        <w:tc>
          <w:tcPr>
            <w:tcW w:type="dxa" w:w="1984"/>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Effective Date</w:t>
            </w:r>
          </w:p>
        </w:tc>
        <w:tc>
          <w:tcPr>
            <w:tcW w:type="dxa" w:w="5669"/>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1.0</w:t>
            </w:r>
          </w:p>
        </w:tc>
        <w:tc>
          <w:tcPr>
            <w:tcW w:type="dxa" w:w="1984"/>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2026-09-19</w:t>
            </w:r>
          </w:p>
        </w:tc>
        <w:tc>
          <w:tcPr>
            <w:tcW w:type="dxa" w:w="5669"/>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Initial issue</w:t>
            </w:r>
          </w:p>
        </w:tc>
      </w:tr>
    </w:tbl>
    <w:p>
      <w:pPr>
        <w:spacing w:before="0" w:after="0" w:line="252" w:lineRule="auto"/>
      </w:pPr>
    </w:p>
    <w:tbl>
      <w:tblPr>
        <w:tblStyle w:val="TableGrid"/>
        <w:tblW w:type="auto" w:w="0"/>
        <w:jc w:val="center"/>
        <w:tblLook w:val="04A0"/>
      </w:tblPr>
      <w:tblGrid>
        <w:gridCol w:w="2339"/>
        <w:gridCol w:w="2339"/>
        <w:gridCol w:w="2339"/>
        <w:gridCol w:w="2339"/>
      </w:tblGrid>
      <w:tr>
        <w:trPr>
          <w:tblHeader w:val="true"/>
        </w:trPr>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Prepared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Reviewed by</w:t>
            </w:r>
          </w:p>
        </w:tc>
        <w:tc>
          <w:tcPr>
            <w:tcW w:type="dxa" w:w="238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Approved by</w:t>
            </w:r>
          </w:p>
        </w:tc>
        <w:tc>
          <w:tcPr>
            <w:tcW w:type="dxa" w:w="1701"/>
            <w:shd w:fill="D9EAF7"/>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vAlign w:val="center"/>
          </w:tcPr>
          <w:p>
            <w:pPr>
              <w:spacing w:before="0" w:after="0" w:line="252" w:lineRule="auto"/>
              <w:jc w:val="center"/>
            </w:pPr>
            <w:r>
              <w:rPr>
                <w:rFonts w:ascii="Cambria" w:hAnsi="Cambria" w:eastAsia="Cambria"/>
                <w:b/>
                <w:i w:val="0"/>
                <w:color w:val="000000"/>
                <w:sz w:val="18"/>
              </w:rPr>
              <w:t>Date</w:t>
            </w:r>
          </w:p>
        </w:tc>
      </w:tr>
      <w:tr>
        <w:trPr>
          <w:cantSplit/>
        </w:trPr>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238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[NAME / ROLE]</w:t>
            </w:r>
          </w:p>
        </w:tc>
        <w:tc>
          <w:tcPr>
            <w:tcW w:type="dxa" w:w="1701"/>
            <w:tcBorders>
              <w:top w:val="single" w:sz="4" w:space="0" w:color="B7C9D6"/>
              <w:left w:val="single" w:sz="4" w:space="0" w:color="B7C9D6"/>
              <w:bottom w:val="single" w:sz="4" w:space="0" w:color="B7C9D6"/>
              <w:right w:val="single" w:sz="4" w:space="0" w:color="B7C9D6"/>
            </w:tcBorders>
            <w:tcMar>
              <w:top w:w="80" w:type="dxa"/>
              <w:left w:w="80" w:type="dxa"/>
              <w:bottom w:w="80" w:type="dxa"/>
              <w:right w:w="80" w:type="dxa"/>
            </w:tcMar>
          </w:tcPr>
          <w:p>
            <w:pPr>
              <w:spacing w:before="0" w:after="0" w:line="252" w:lineRule="auto"/>
            </w:pPr>
            <w:r>
              <w:rPr>
                <w:rFonts w:ascii="Cambria" w:hAnsi="Cambria" w:eastAsia="Cambria"/>
                <w:b w:val="0"/>
                <w:i w:val="0"/>
                <w:color w:val="000000"/>
                <w:sz w:val="18"/>
              </w:rPr>
              <w:t>[DATE]</w:t>
            </w:r>
          </w:p>
        </w:tc>
      </w:tr>
    </w:tbl>
    <w:p>
      <w:pPr>
        <w:spacing w:before="0" w:after="0" w:line="252" w:lineRule="auto"/>
      </w:pPr>
    </w:p>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jc w:val="center"/>
    </w:pPr>
    <w:r>
      <w:rPr>
        <w:rFonts w:ascii="Calibri" w:hAnsi="Calibri" w:eastAsia="Calibri"/>
        <w:b w:val="0"/>
        <w:i w:val="0"/>
        <w:color w:val="666666"/>
        <w:sz w:val="16"/>
      </w:rPr>
      <w:t xml:space="preserve">www.iso-toolkits.org | info@iso-toolkits.org | Page </w:t>
    </w:r>
    <w:r>
      <w:fldChar w:fldCharType="begin"/>
      <w:instrText xml:space="preserve"> PAGE </w:instrText>
      <w:fldChar w:fldCharType="separate"/>
      <w:t>1</w:t>
      <w:fldChar w:fldCharType="end"/>
    </w:r>
    <w:r>
      <w:rPr>
        <w:rFonts w:ascii="Calibri" w:hAnsi="Calibri" w:eastAsia="Calibri"/>
        <w:b w:val="0"/>
        <w:i w:val="0"/>
        <w:color w:val="666666"/>
        <w:sz w:val="16"/>
      </w:rPr>
      <w:t xml:space="preserve"> of </w:t>
    </w:r>
    <w: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pPr>
  </w:p>
  <w:tbl>
    <w:tblPr>
      <w:tblW w:type="auto" w:w="0"/>
      <w:jc w:val="center"/>
      <w:tblLook w:val="04A0"/>
    </w:tblPr>
    <w:tblGrid>
      <w:gridCol w:w="3118"/>
      <w:gridCol w:w="3118"/>
      <w:gridCol w:w="3118"/>
    </w:tblGrid>
    <w:tr>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ORGANIZATION LOGO</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i w:val="0"/>
              <w:color w:val="1F4E79"/>
              <w:sz w:val="15"/>
            </w:rPr>
            <w:t>[ORGANIZATION NAME]</w:t>
            <w:br/>
            <w:t>Laboratory Management Review Procedure</w:t>
          </w:r>
        </w:p>
      </w:tc>
      <w:tc>
        <w:tcPr>
          <w:tcW w:type="dxa" w:w="3118"/>
          <w:tcBorders>
            <w:top w:val="single" w:sz="2" w:space="0" w:color="D9EAF7"/>
            <w:left w:val="single" w:sz="2" w:space="0" w:color="D9EAF7"/>
            <w:bottom w:val="single" w:sz="2" w:space="0" w:color="D9EAF7"/>
            <w:right w:val="single" w:sz="2" w:space="0" w:color="D9EAF7"/>
          </w:tcBorders>
          <w:tcMar>
            <w:top w:w="40" w:type="dxa"/>
            <w:left w:w="50" w:type="dxa"/>
            <w:bottom w:w="40" w:type="dxa"/>
            <w:right w:w="50" w:type="dxa"/>
          </w:tcMar>
        </w:tcPr>
        <w:p>
          <w:pPr>
            <w:jc w:val="center"/>
          </w:pPr>
          <w:r>
            <w:rPr>
              <w:rFonts w:ascii="Cambria" w:hAnsi="Cambria" w:eastAsia="Cambria"/>
              <w:b w:val="0"/>
              <w:i w:val="0"/>
              <w:color w:val="000000"/>
              <w:sz w:val="15"/>
            </w:rPr>
            <w:t>LQMS-PRO-002</w:t>
            <w:br/>
            <w:t>Version 1.0</w:t>
            <w:br/>
            <w:t>2026-09-19</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mbria" w:hAnsi="Cambria" w:eastAsia="Cambria"/>
      <w:sz w:val="20"/>
    </w:rPr>
  </w:style>
  <w:style w:type="paragraph" w:styleId="ListBullet2">
    <w:name w:val="List Bullet 2"/>
    <w:basedOn w:val="Normal"/>
    <w:uiPriority w:val="99"/>
    <w:unhideWhenUsed/>
    <w:rsid w:val="00326F90"/>
    <w:pPr>
      <w:numPr>
        <w:numId w:val="2"/>
      </w:numPr>
      <w:spacing w:after="40"/>
      <w:contextualSpacing/>
    </w:pPr>
    <w:rPr>
      <w:rFonts w:ascii="Cambria" w:hAnsi="Cambria" w:eastAsia="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mbria" w:hAnsi="Cambria" w:eastAsia="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Laboratory Management Review Procedure</dc:title>
  <dc:subject>ISO 15189:2022 laboratory quality management system document</dc:subject>
  <dc:creator>ISO Toolkits</dc:creator>
  <cp:keywords>ISO 15189, laboratory quality, LQMS, Procedure</cp:keywords>
  <dc:description>Practical ISO 15189 toolkit document. www.iso-toolkits.org</dc:description>
  <cp:lastModifiedBy/>
  <cp:revision>1</cp:revision>
  <dcterms:created xsi:type="dcterms:W3CDTF">2013-12-23T23:15:00Z</dcterms:created>
  <dcterms:modified xsi:type="dcterms:W3CDTF">2013-12-23T23:15:00Z</dcterms:modified>
  <cp:category/>
</cp:coreProperties>
</file>