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480" w:after="160"/>
        <w:jc w:val="center"/>
      </w:pPr>
      <w:r>
        <w:rPr>
          <w:rFonts w:ascii="Cambria" w:hAnsi="Cambria" w:eastAsia="Cambria"/>
          <w:b/>
          <w:i w:val="0"/>
          <w:color w:val="1F4E79"/>
          <w:sz w:val="40"/>
        </w:rPr>
        <w:t>Laboratory Management Review Guidance</w:t>
      </w:r>
    </w:p>
    <w:p>
      <w:pPr>
        <w:spacing w:after="360"/>
        <w:jc w:val="center"/>
      </w:pPr>
      <w:r>
        <w:rPr>
          <w:rFonts w:ascii="Cambria" w:hAnsi="Cambria" w:eastAsia="Cambria"/>
          <w:b/>
          <w:i w:val="0"/>
          <w:color w:val="000000"/>
          <w:sz w:val="22"/>
        </w:rPr>
        <w:t>ISO 15189:2022 | Guidance</w:t>
      </w:r>
    </w:p>
    <w:tbl>
      <w:tblPr>
        <w:tblStyle w:val="TableGrid"/>
        <w:tblW w:type="auto" w:w="0"/>
        <w:jc w:val="center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587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Field</w:t>
            </w:r>
          </w:p>
        </w:tc>
        <w:tc>
          <w:tcPr>
            <w:tcW w:type="dxa" w:w="3118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Value</w:t>
            </w:r>
          </w:p>
        </w:tc>
        <w:tc>
          <w:tcPr>
            <w:tcW w:type="dxa" w:w="1587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Field</w:t>
            </w:r>
          </w:p>
        </w:tc>
        <w:tc>
          <w:tcPr>
            <w:tcW w:type="dxa" w:w="3118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Value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Document Code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LQMS-GUI-003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Version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1.0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Effective Date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2026-09-19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Classification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INTERNAL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Document Owner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[QUALITY MANAGER]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Approver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[LABORATORY DIRECTOR]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Review Cycle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[ANNUAL / UPON CHANGE]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Next Review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[NEXT REVIEW DATE]</w:t>
            </w:r>
          </w:p>
        </w:tc>
      </w:tr>
    </w:tbl>
    <w:p>
      <w:pPr>
        <w:spacing w:before="0" w:after="0" w:line="252" w:lineRule="auto"/>
      </w:pPr>
    </w:p>
    <w:tbl>
      <w:tblPr>
        <w:tblW w:type="auto" w:w="0"/>
        <w:jc w:val="center"/>
        <w:tblLook w:val="04A0"/>
      </w:tblPr>
      <w:tblGrid>
        <w:gridCol w:w="9355"/>
      </w:tblGrid>
      <w:tr>
        <w:tc>
          <w:tcPr>
            <w:tcW w:type="dxa" w:w="9355"/>
            <w:shd w:fill="FFF2CC"/>
            <w:tcBorders>
              <w:top w:val="single" w:sz="4" w:space="0" w:color="D6B656"/>
              <w:left w:val="single" w:sz="4" w:space="0" w:color="D6B656"/>
              <w:bottom w:val="single" w:sz="4" w:space="0" w:color="D6B656"/>
              <w:right w:val="single" w:sz="4" w:space="0" w:color="D6B65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/>
                <w:color w:val="C00000"/>
                <w:sz w:val="19"/>
              </w:rPr>
              <w:t>[Note] Replace organization-specific placeholders before controlled release.</w:t>
            </w:r>
          </w:p>
        </w:tc>
      </w:tr>
    </w:tbl>
    <w:p>
      <w:pPr>
        <w:jc w:val="center"/>
      </w:pPr>
      <w:r>
        <w:rPr>
          <w:rFonts w:ascii="Cambria" w:hAnsi="Cambria" w:eastAsia="Cambria"/>
          <w:b/>
          <w:i w:val="0"/>
          <w:color w:val="666666"/>
          <w:sz w:val="17"/>
        </w:rPr>
        <w:t>ISO TOOLKITS DOCUMENT</w:t>
      </w:r>
    </w:p>
    <w:p>
      <w:pPr>
        <w:jc w:val="center"/>
      </w:pPr>
      <w:r>
        <w:rPr>
          <w:rFonts w:ascii="Calibri" w:hAnsi="Calibri" w:eastAsia="Calibri"/>
          <w:b w:val="0"/>
          <w:i w:val="0"/>
          <w:color w:val="666666"/>
          <w:sz w:val="17"/>
        </w:rPr>
        <w:t>www.iso-toolkits.org | info@iso-toolkits.org</w:t>
      </w:r>
    </w:p>
    <w:p>
      <w:r>
        <w:br w:type="page"/>
      </w: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1. Purpose and Use</w:t>
      </w:r>
    </w:p>
    <w:p>
      <w:pPr>
        <w:spacing w:before="0" w:after="80" w:line="252" w:lineRule="auto"/>
      </w:pPr>
      <w:r>
        <w:rPr>
          <w:rFonts w:ascii="Cambria" w:hAnsi="Cambria" w:eastAsia="Cambria"/>
          <w:b w:val="0"/>
          <w:i w:val="0"/>
          <w:color w:val="000000"/>
          <w:sz w:val="21"/>
        </w:rPr>
        <w:t>This guidance helps laboratories turn management review into a decision-making process that improves laboratory quality, competence and service performance, rather than a meeting that only receives status updates.</w:t>
      </w: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2. Recommended Review Cycle</w:t>
      </w:r>
    </w:p>
    <w:tbl>
      <w:tblPr>
        <w:tblStyle w:val="TableGrid"/>
        <w:tblW w:type="auto" w:w="0"/>
        <w:jc w:val="center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170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Timing</w:t>
            </w:r>
          </w:p>
        </w:tc>
        <w:tc>
          <w:tcPr>
            <w:tcW w:type="dxa" w:w="5102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Activity</w:t>
            </w:r>
          </w:p>
        </w:tc>
        <w:tc>
          <w:tcPr>
            <w:tcW w:type="dxa" w:w="2268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Owner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T-20 to T-15 days</w:t>
            </w:r>
          </w:p>
        </w:tc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Confirm review period, agenda, participants and data owners.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Quality Manager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T-14 to T-7 days</w:t>
            </w:r>
          </w:p>
        </w:tc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Collect indicator trends, audit/assessment results, significant incidents, risk information and resource inputs.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Process / Data Owners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T-6 to T-3 days</w:t>
            </w:r>
          </w:p>
        </w:tc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Validate data, identify exceptions and prepare concise review pack.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Quality Manager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T-2 to T-1 days</w:t>
            </w:r>
          </w:p>
        </w:tc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Chair reviews priority issues and decisions likely to require leadership input.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Chair / Laboratory Director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Meeting</w:t>
            </w:r>
          </w:p>
        </w:tc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Review trends, unresolved risks, major changes and decisions; assign actions.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Review Team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+1 to +5 days</w:t>
            </w:r>
          </w:p>
        </w:tc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Issue minutes and action log; confirm owners and dates.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Quality Manager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Ongoing</w:t>
            </w:r>
          </w:p>
        </w:tc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Track actions, verify closure and escalate delay or ineffective action.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Action Owners / Quality Manager</w:t>
            </w:r>
          </w:p>
        </w:tc>
      </w:tr>
    </w:tbl>
    <w:p>
      <w:pPr>
        <w:spacing w:before="0" w:after="0" w:line="252" w:lineRule="auto"/>
      </w:pP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3. Build a Decision-Ready Review Pack</w:t>
      </w:r>
    </w:p>
    <w:p>
      <w:pPr>
        <w:spacing w:before="0" w:after="80" w:line="252" w:lineRule="auto"/>
      </w:pPr>
      <w:r>
        <w:rPr>
          <w:rFonts w:ascii="Cambria" w:hAnsi="Cambria" w:eastAsia="Cambria"/>
          <w:b w:val="0"/>
          <w:i w:val="0"/>
          <w:color w:val="000000"/>
          <w:sz w:val="21"/>
        </w:rPr>
        <w:t>A good review pack does not reproduce every operational record. It highlights trends, exceptions, recurring problems, significant changes and decisions that require leadership.</w:t>
      </w:r>
    </w:p>
    <w:tbl>
      <w:tblPr>
        <w:tblStyle w:val="TableGrid"/>
        <w:tblW w:type="auto" w:w="0"/>
        <w:jc w:val="center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04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Data type</w:t>
            </w:r>
          </w:p>
        </w:tc>
        <w:tc>
          <w:tcPr>
            <w:tcW w:type="dxa" w:w="3628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What to show</w:t>
            </w:r>
          </w:p>
        </w:tc>
        <w:tc>
          <w:tcPr>
            <w:tcW w:type="dxa" w:w="3402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What management should decide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Quality objectives / indicators</w:t>
            </w:r>
          </w:p>
        </w:tc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Trend, target, exception and cause where known.</w:t>
            </w:r>
          </w:p>
        </w:tc>
        <w:tc>
          <w:tcPr>
            <w:tcW w:type="dxa" w:w="34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Continue, change target, resource, escalate or redesign control.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Audit / external assessment</w:t>
            </w:r>
          </w:p>
        </w:tc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Significant themes, repeat findings, overdue actions.</w:t>
            </w:r>
          </w:p>
        </w:tc>
        <w:tc>
          <w:tcPr>
            <w:tcW w:type="dxa" w:w="34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System change, priority and accountability.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Nonconformities / incidents</w:t>
            </w:r>
          </w:p>
        </w:tc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Frequency, severity, recurrence and patient/result impact.</w:t>
            </w:r>
          </w:p>
        </w:tc>
        <w:tc>
          <w:tcPr>
            <w:tcW w:type="dxa" w:w="34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Containment, root-cause depth, risk response and resources.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Complaints / feedback</w:t>
            </w:r>
          </w:p>
        </w:tc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Patterns, service interfaces and recurring dissatisfaction.</w:t>
            </w:r>
          </w:p>
        </w:tc>
        <w:tc>
          <w:tcPr>
            <w:tcW w:type="dxa" w:w="34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Process/service changes and stakeholder communication.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Technical performance</w:t>
            </w:r>
          </w:p>
        </w:tc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IQC/EQA or other technical quality evidence and significant investigation outcomes.</w:t>
            </w:r>
          </w:p>
        </w:tc>
        <w:tc>
          <w:tcPr>
            <w:tcW w:type="dxa" w:w="34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Method, equipment, competence or technical-control decisions.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Resources</w:t>
            </w:r>
          </w:p>
        </w:tc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Capacity, competence, staffing, equipment, IT/LIS, facilities and supply constraints.</w:t>
            </w:r>
          </w:p>
        </w:tc>
        <w:tc>
          <w:tcPr>
            <w:tcW w:type="dxa" w:w="34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Investment, recruitment, training or contingency decisions.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Risk / opportunities</w:t>
            </w:r>
          </w:p>
        </w:tc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Top risks, control effectiveness and improvement opportunities.</w:t>
            </w:r>
          </w:p>
        </w:tc>
        <w:tc>
          <w:tcPr>
            <w:tcW w:type="dxa" w:w="34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Accept, reduce, transfer/escalate, monitor or exploit opportunity.</w:t>
            </w:r>
          </w:p>
        </w:tc>
      </w:tr>
    </w:tbl>
    <w:p>
      <w:pPr>
        <w:spacing w:before="0" w:after="0" w:line="252" w:lineRule="auto"/>
      </w:pP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4. Interpreting Indicators</w:t>
      </w:r>
    </w:p>
    <w:p>
      <w:pPr>
        <w:pStyle w:val="ListBullet"/>
        <w:spacing w:before="0" w:after="40" w:line="252" w:lineRule="auto"/>
      </w:pPr>
      <w:r>
        <w:rPr>
          <w:rFonts w:ascii="Cambria" w:hAnsi="Cambria" w:eastAsia="Cambria"/>
          <w:b w:val="0"/>
          <w:i w:val="0"/>
          <w:color w:val="000000"/>
          <w:sz w:val="20"/>
        </w:rPr>
        <w:t>Look at trend and variation, not only a single result.</w:t>
      </w:r>
    </w:p>
    <w:p>
      <w:pPr>
        <w:pStyle w:val="ListBullet"/>
        <w:spacing w:before="0" w:after="40" w:line="252" w:lineRule="auto"/>
      </w:pPr>
      <w:r>
        <w:rPr>
          <w:rFonts w:ascii="Cambria" w:hAnsi="Cambria" w:eastAsia="Cambria"/>
          <w:b w:val="0"/>
          <w:i w:val="0"/>
          <w:color w:val="000000"/>
          <w:sz w:val="20"/>
        </w:rPr>
        <w:t>Separate normal fluctuation from persistent deterioration.</w:t>
      </w:r>
    </w:p>
    <w:p>
      <w:pPr>
        <w:pStyle w:val="ListBullet"/>
        <w:spacing w:before="0" w:after="40" w:line="252" w:lineRule="auto"/>
      </w:pPr>
      <w:r>
        <w:rPr>
          <w:rFonts w:ascii="Cambria" w:hAnsi="Cambria" w:eastAsia="Cambria"/>
          <w:b w:val="0"/>
          <w:i w:val="0"/>
          <w:color w:val="000000"/>
          <w:sz w:val="20"/>
        </w:rPr>
        <w:t>Use denominators that make the indicator meaningful when workload changes.</w:t>
      </w:r>
    </w:p>
    <w:p>
      <w:pPr>
        <w:pStyle w:val="ListBullet"/>
        <w:spacing w:before="0" w:after="40" w:line="252" w:lineRule="auto"/>
      </w:pPr>
      <w:r>
        <w:rPr>
          <w:rFonts w:ascii="Cambria" w:hAnsi="Cambria" w:eastAsia="Cambria"/>
          <w:b w:val="0"/>
          <w:i w:val="0"/>
          <w:color w:val="000000"/>
          <w:sz w:val="20"/>
        </w:rPr>
        <w:t>Consider process changes, staffing, instrument changes, seasonality or referral patterns before drawing conclusions.</w:t>
      </w:r>
    </w:p>
    <w:p>
      <w:pPr>
        <w:pStyle w:val="ListBullet"/>
        <w:spacing w:before="0" w:after="40" w:line="252" w:lineRule="auto"/>
      </w:pPr>
      <w:r>
        <w:rPr>
          <w:rFonts w:ascii="Cambria" w:hAnsi="Cambria" w:eastAsia="Cambria"/>
          <w:b w:val="0"/>
          <w:i w:val="0"/>
          <w:color w:val="000000"/>
          <w:sz w:val="20"/>
        </w:rPr>
        <w:t>Link adverse trends to action owners and an explicit verification plan.</w:t>
      </w: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5. Risk-Based Prioritization</w:t>
      </w:r>
    </w:p>
    <w:tbl>
      <w:tblPr>
        <w:tblStyle w:val="TableGrid"/>
        <w:tblW w:type="auto" w:w="0"/>
        <w:jc w:val="center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268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Priority lens</w:t>
            </w:r>
          </w:p>
        </w:tc>
        <w:tc>
          <w:tcPr>
            <w:tcW w:type="dxa" w:w="6803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Questions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Patient / clinical impact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Could this issue lead to a delayed, incorrect, missing or miscommunicated result?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Technical validity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Could it undermine method performance, QC, metrological traceability or result authorization?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Recurrence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Has the issue occurred repeatedly despite previous action?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Scale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How many specimens, patients, processes, staff or locations could be affected?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Detectability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Would the problem be found before the result or service reaches the user?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Resource / resilience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Does a capacity, staffing, equipment or information-system weakness threaten service continuity?</w:t>
            </w:r>
          </w:p>
        </w:tc>
      </w:tr>
    </w:tbl>
    <w:p>
      <w:pPr>
        <w:spacing w:before="0" w:after="0" w:line="252" w:lineRule="auto"/>
      </w:pP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6. Converting Discussion into Decisions</w:t>
      </w:r>
    </w:p>
    <w:p>
      <w:pPr>
        <w:spacing w:before="0" w:after="80" w:line="252" w:lineRule="auto"/>
      </w:pPr>
      <w:r>
        <w:rPr>
          <w:rFonts w:ascii="Cambria" w:hAnsi="Cambria" w:eastAsia="Cambria"/>
          <w:b w:val="0"/>
          <w:i w:val="0"/>
          <w:color w:val="000000"/>
          <w:sz w:val="21"/>
        </w:rPr>
        <w:t>Each significant agenda item should end with one of four outcomes: no further action, monitor with a defined trigger, implement an improvement/corrective action, or escalate for a higher-level decision.</w:t>
      </w:r>
    </w:p>
    <w:tbl>
      <w:tblPr>
        <w:tblStyle w:val="TableGrid"/>
        <w:tblW w:type="auto" w:w="0"/>
        <w:jc w:val="center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55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Decision quality test</w:t>
            </w:r>
          </w:p>
        </w:tc>
        <w:tc>
          <w:tcPr>
            <w:tcW w:type="dxa" w:w="6520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Expectation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Specific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The decision states what will change or what will be monitored.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Owned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One accountable role is assigned.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Timed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 due date or review trigger is defined.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Evidence-based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The expected deliverable or closure evidence is clear.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Verifiable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Effectiveness or success can be evaluated.</w:t>
            </w:r>
          </w:p>
        </w:tc>
      </w:tr>
    </w:tbl>
    <w:p>
      <w:pPr>
        <w:spacing w:before="0" w:after="0" w:line="252" w:lineRule="auto"/>
      </w:pP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7. Managing Review Actions</w:t>
      </w:r>
    </w:p>
    <w:p>
      <w:pPr>
        <w:pStyle w:val="ListBullet"/>
        <w:spacing w:before="0" w:after="40" w:line="252" w:lineRule="auto"/>
      </w:pPr>
      <w:r>
        <w:rPr>
          <w:rFonts w:ascii="Cambria" w:hAnsi="Cambria" w:eastAsia="Cambria"/>
          <w:b w:val="0"/>
          <w:i w:val="0"/>
          <w:color w:val="000000"/>
          <w:sz w:val="20"/>
        </w:rPr>
        <w:t>Maintain one action log for formal management-review outputs.</w:t>
      </w:r>
    </w:p>
    <w:p>
      <w:pPr>
        <w:pStyle w:val="ListBullet"/>
        <w:spacing w:before="0" w:after="40" w:line="252" w:lineRule="auto"/>
      </w:pPr>
      <w:r>
        <w:rPr>
          <w:rFonts w:ascii="Cambria" w:hAnsi="Cambria" w:eastAsia="Cambria"/>
          <w:b w:val="0"/>
          <w:i w:val="0"/>
          <w:color w:val="000000"/>
          <w:sz w:val="20"/>
        </w:rPr>
        <w:t>Do not close an action only because a task was completed; verify the expected outcome where appropriate.</w:t>
      </w:r>
    </w:p>
    <w:p>
      <w:pPr>
        <w:pStyle w:val="ListBullet"/>
        <w:spacing w:before="0" w:after="40" w:line="252" w:lineRule="auto"/>
      </w:pPr>
      <w:r>
        <w:rPr>
          <w:rFonts w:ascii="Cambria" w:hAnsi="Cambria" w:eastAsia="Cambria"/>
          <w:b w:val="0"/>
          <w:i w:val="0"/>
          <w:color w:val="000000"/>
          <w:sz w:val="20"/>
        </w:rPr>
        <w:t>Escalate blocked or overdue high-priority actions before the next formal review.</w:t>
      </w:r>
    </w:p>
    <w:p>
      <w:pPr>
        <w:pStyle w:val="ListBullet"/>
        <w:spacing w:before="0" w:after="40" w:line="252" w:lineRule="auto"/>
      </w:pPr>
      <w:r>
        <w:rPr>
          <w:rFonts w:ascii="Cambria" w:hAnsi="Cambria" w:eastAsia="Cambria"/>
          <w:b w:val="0"/>
          <w:i w:val="0"/>
          <w:color w:val="000000"/>
          <w:sz w:val="20"/>
        </w:rPr>
        <w:t>Carry forward unresolved decisions explicitly so they do not disappear between review cycles.</w:t>
      </w:r>
    </w:p>
    <w:p>
      <w:pPr>
        <w:pStyle w:val="ListBullet"/>
        <w:spacing w:before="0" w:after="40" w:line="252" w:lineRule="auto"/>
      </w:pPr>
      <w:r>
        <w:rPr>
          <w:rFonts w:ascii="Cambria" w:hAnsi="Cambria" w:eastAsia="Cambria"/>
          <w:b w:val="0"/>
          <w:i w:val="0"/>
          <w:color w:val="000000"/>
          <w:sz w:val="20"/>
        </w:rPr>
        <w:t>Use repeated delays or repeated findings as evidence of a system weakness requiring stronger intervention.</w:t>
      </w: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8. Common Failure Modes</w:t>
      </w:r>
    </w:p>
    <w:tbl>
      <w:tblPr>
        <w:tblStyle w:val="TableGrid"/>
        <w:tblW w:type="auto" w:w="0"/>
        <w:jc w:val="center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515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Failure mode</w:t>
            </w:r>
          </w:p>
        </w:tc>
        <w:tc>
          <w:tcPr>
            <w:tcW w:type="dxa" w:w="5556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Better practice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Meeting is a long presentation of raw data</w:t>
            </w:r>
          </w:p>
        </w:tc>
        <w:tc>
          <w:tcPr>
            <w:tcW w:type="dxa" w:w="555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Pre-read the pack and use meeting time for exceptions and decisions.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No trend context</w:t>
            </w:r>
          </w:p>
        </w:tc>
        <w:tc>
          <w:tcPr>
            <w:tcW w:type="dxa" w:w="555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Show prior periods and explain meaningful changes.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Actions have no owner or due date</w:t>
            </w:r>
          </w:p>
        </w:tc>
        <w:tc>
          <w:tcPr>
            <w:tcW w:type="dxa" w:w="555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Assign an accountable role, date and evidence requirement.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Same issue returns every review</w:t>
            </w:r>
          </w:p>
        </w:tc>
        <w:tc>
          <w:tcPr>
            <w:tcW w:type="dxa" w:w="555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Escalate root-cause analysis and effectiveness verification.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Resource issues are recorded but not decided</w:t>
            </w:r>
          </w:p>
        </w:tc>
        <w:tc>
          <w:tcPr>
            <w:tcW w:type="dxa" w:w="555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State the required leadership decision and interim control.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Minutes capture discussion but not decisions</w:t>
            </w:r>
          </w:p>
        </w:tc>
        <w:tc>
          <w:tcPr>
            <w:tcW w:type="dxa" w:w="555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Use a decision/action log with explicit conclusions.</w:t>
            </w:r>
          </w:p>
        </w:tc>
      </w:tr>
    </w:tbl>
    <w:p>
      <w:pPr>
        <w:spacing w:before="0" w:after="0" w:line="252" w:lineRule="auto"/>
      </w:pP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9. Evidence of an Effective Management Review</w:t>
      </w:r>
    </w:p>
    <w:p>
      <w:pPr>
        <w:pStyle w:val="ListBullet"/>
        <w:spacing w:before="0" w:after="40" w:line="252" w:lineRule="auto"/>
      </w:pPr>
      <w:r>
        <w:rPr>
          <w:rFonts w:ascii="Cambria" w:hAnsi="Cambria" w:eastAsia="Cambria"/>
          <w:b w:val="0"/>
          <w:i w:val="0"/>
          <w:color w:val="000000"/>
          <w:sz w:val="20"/>
        </w:rPr>
        <w:t>Agenda and participants are appropriate to the review scope.</w:t>
      </w:r>
    </w:p>
    <w:p>
      <w:pPr>
        <w:pStyle w:val="ListBullet"/>
        <w:spacing w:before="0" w:after="40" w:line="252" w:lineRule="auto"/>
      </w:pPr>
      <w:r>
        <w:rPr>
          <w:rFonts w:ascii="Cambria" w:hAnsi="Cambria" w:eastAsia="Cambria"/>
          <w:b w:val="0"/>
          <w:i w:val="0"/>
          <w:color w:val="000000"/>
          <w:sz w:val="20"/>
        </w:rPr>
        <w:t>Inputs are complete enough to support decisions and show trend or significance.</w:t>
      </w:r>
    </w:p>
    <w:p>
      <w:pPr>
        <w:pStyle w:val="ListBullet"/>
        <w:spacing w:before="0" w:after="40" w:line="252" w:lineRule="auto"/>
      </w:pPr>
      <w:r>
        <w:rPr>
          <w:rFonts w:ascii="Cambria" w:hAnsi="Cambria" w:eastAsia="Cambria"/>
          <w:b w:val="0"/>
          <w:i w:val="0"/>
          <w:color w:val="000000"/>
          <w:sz w:val="20"/>
        </w:rPr>
        <w:t>Minutes distinguish evidence, conclusions, decisions and actions.</w:t>
      </w:r>
    </w:p>
    <w:p>
      <w:pPr>
        <w:pStyle w:val="ListBullet"/>
        <w:spacing w:before="0" w:after="40" w:line="252" w:lineRule="auto"/>
      </w:pPr>
      <w:r>
        <w:rPr>
          <w:rFonts w:ascii="Cambria" w:hAnsi="Cambria" w:eastAsia="Cambria"/>
          <w:b w:val="0"/>
          <w:i w:val="0"/>
          <w:color w:val="000000"/>
          <w:sz w:val="20"/>
        </w:rPr>
        <w:t>Actions are assigned, monitored and closed with evidence.</w:t>
      </w:r>
    </w:p>
    <w:p>
      <w:pPr>
        <w:pStyle w:val="ListBullet"/>
        <w:spacing w:before="0" w:after="40" w:line="252" w:lineRule="auto"/>
      </w:pPr>
      <w:r>
        <w:rPr>
          <w:rFonts w:ascii="Cambria" w:hAnsi="Cambria" w:eastAsia="Cambria"/>
          <w:b w:val="0"/>
          <w:i w:val="0"/>
          <w:color w:val="000000"/>
          <w:sz w:val="20"/>
        </w:rPr>
        <w:t>Significant management-review decisions can be traced to later process or resource changes.</w:t>
      </w:r>
    </w:p>
    <w:p>
      <w:pPr>
        <w:pStyle w:val="ListBullet"/>
        <w:spacing w:before="0" w:after="40" w:line="252" w:lineRule="auto"/>
      </w:pPr>
      <w:r>
        <w:rPr>
          <w:rFonts w:ascii="Cambria" w:hAnsi="Cambria" w:eastAsia="Cambria"/>
          <w:b w:val="0"/>
          <w:i w:val="0"/>
          <w:color w:val="000000"/>
          <w:sz w:val="20"/>
        </w:rPr>
        <w:t>Recurring risks and quality issues are visibly escalated and addressed.</w:t>
      </w: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10. Integration with Other LQMS Processes</w:t>
      </w:r>
    </w:p>
    <w:tbl>
      <w:tblPr>
        <w:tblStyle w:val="TableGrid"/>
        <w:tblW w:type="auto" w:w="0"/>
        <w:jc w:val="center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55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Input / output interface</w:t>
            </w:r>
          </w:p>
        </w:tc>
        <w:tc>
          <w:tcPr>
            <w:tcW w:type="dxa" w:w="6520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Management review connection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Internal audit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Findings and systemic themes become review inputs; leadership decisions may change the audit programme.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Risk management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Top risks and control effectiveness are reviewed; decisions may change risk treatment.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Quality objectives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Performance is reviewed and objectives may be revised.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Corrective action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Recurring or ineffective actions are escalated.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Competence &amp; resources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Capacity and competence gaps can trigger investment or training decisions.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Change management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Major technical, service, LIS or organizational changes are evaluated and followed up.</w:t>
            </w:r>
          </w:p>
        </w:tc>
      </w:tr>
    </w:tbl>
    <w:p>
      <w:pPr>
        <w:spacing w:before="0" w:after="0" w:line="252" w:lineRule="auto"/>
      </w:pP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References</w:t>
      </w:r>
    </w:p>
    <w:p>
      <w:r>
        <w:rPr>
          <w:rFonts w:ascii="Cambria" w:hAnsi="Cambria" w:eastAsia="Cambria"/>
          <w:b/>
          <w:i w:val="0"/>
          <w:color w:val="000000"/>
          <w:sz w:val="19"/>
        </w:rPr>
        <w:t>ISO 15189:2022 — Medical laboratories — Requirements for quality and competence</w:t>
      </w:r>
    </w:p>
    <w:p>
      <w:pPr>
        <w:spacing w:after="60"/>
      </w:pPr>
      <w:r>
        <w:rPr>
          <w:rFonts w:ascii="Calibri" w:hAnsi="Calibri" w:eastAsia="Calibri"/>
          <w:b w:val="0"/>
          <w:i w:val="0"/>
          <w:color w:val="1F4E79"/>
          <w:sz w:val="18"/>
        </w:rPr>
        <w:t>https://www.iso.org/standard/76677.html</w:t>
      </w:r>
    </w:p>
    <w:p>
      <w:r>
        <w:rPr>
          <w:rFonts w:ascii="Cambria" w:hAnsi="Cambria" w:eastAsia="Cambria"/>
          <w:b/>
          <w:i w:val="0"/>
          <w:color w:val="000000"/>
          <w:sz w:val="19"/>
        </w:rPr>
        <w:t>ISO 22367:2026 — Medical laboratories — Application of risk management to medical laboratories</w:t>
      </w:r>
    </w:p>
    <w:p>
      <w:pPr>
        <w:spacing w:after="60"/>
      </w:pPr>
      <w:r>
        <w:rPr>
          <w:rFonts w:ascii="Calibri" w:hAnsi="Calibri" w:eastAsia="Calibri"/>
          <w:b w:val="0"/>
          <w:i w:val="0"/>
          <w:color w:val="1F4E79"/>
          <w:sz w:val="18"/>
        </w:rPr>
        <w:t>https://committee.iso.org/standard/87738.html</w:t>
      </w:r>
    </w:p>
    <w:p>
      <w:r>
        <w:rPr>
          <w:rFonts w:ascii="Cambria" w:hAnsi="Cambria" w:eastAsia="Cambria"/>
          <w:b w:val="0"/>
          <w:i/>
          <w:color w:val="666666"/>
          <w:sz w:val="19"/>
        </w:rPr>
        <w:t>Applicable national, regional, accreditation-body and regulatory requirements should also be incorporated where relevant to the laboratory.</w:t>
      </w: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Revision and Approval</w:t>
      </w:r>
    </w:p>
    <w:tbl>
      <w:tblPr>
        <w:tblStyle w:val="TableGrid"/>
        <w:tblW w:type="auto" w:w="0"/>
        <w:jc w:val="center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1417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Version</w:t>
            </w:r>
          </w:p>
        </w:tc>
        <w:tc>
          <w:tcPr>
            <w:tcW w:type="dxa" w:w="1984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Effective Date</w:t>
            </w:r>
          </w:p>
        </w:tc>
        <w:tc>
          <w:tcPr>
            <w:tcW w:type="dxa" w:w="5669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Description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1.0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2026-09-19</w:t>
            </w:r>
          </w:p>
        </w:tc>
        <w:tc>
          <w:tcPr>
            <w:tcW w:type="dxa" w:w="56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Initial issue</w:t>
            </w:r>
          </w:p>
        </w:tc>
      </w:tr>
    </w:tbl>
    <w:p>
      <w:pPr>
        <w:spacing w:before="0" w:after="0" w:line="252" w:lineRule="auto"/>
      </w:pPr>
    </w:p>
    <w:tbl>
      <w:tblPr>
        <w:tblStyle w:val="TableGrid"/>
        <w:tblW w:type="auto" w:w="0"/>
        <w:jc w:val="center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238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Prepared by</w:t>
            </w:r>
          </w:p>
        </w:tc>
        <w:tc>
          <w:tcPr>
            <w:tcW w:type="dxa" w:w="238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Reviewed by</w:t>
            </w:r>
          </w:p>
        </w:tc>
        <w:tc>
          <w:tcPr>
            <w:tcW w:type="dxa" w:w="238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Approved by</w:t>
            </w:r>
          </w:p>
        </w:tc>
        <w:tc>
          <w:tcPr>
            <w:tcW w:type="dxa" w:w="170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[NAME / ROLE]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[NAME / ROLE]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[NAME / ROLE]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[DATE]</w:t>
            </w:r>
          </w:p>
        </w:tc>
      </w:tr>
    </w:tbl>
    <w:p>
      <w:pPr>
        <w:spacing w:before="0" w:after="0" w:line="252" w:lineRule="auto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454" w:footer="454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p>
    <w:pPr>
      <w:pStyle w:val="Footer"/>
      <w:jc w:val="center"/>
    </w:pPr>
    <w:r>
      <w:rPr>
        <w:rFonts w:ascii="Calibri" w:hAnsi="Calibri" w:eastAsia="Calibri"/>
        <w:b w:val="0"/>
        <w:i w:val="0"/>
        <w:color w:val="666666"/>
        <w:sz w:val="16"/>
      </w:rPr>
      <w:t xml:space="preserve">www.iso-toolkits.org | info@iso-toolkits.org | Page </w:t>
    </w:r>
    <w: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/>
        <w:b w:val="0"/>
        <w:i w:val="0"/>
        <w:color w:val="666666"/>
        <w:sz w:val="16"/>
      </w:rP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w="http://schemas.openxmlformats.org/wordprocessingml/2006/main">
  <w:p>
    <w:pPr>
      <w:pStyle w:val="Header"/>
    </w:pPr>
  </w:p>
  <w:tbl>
    <w:tblPr>
      <w:tblW w:type="auto" w:w="0"/>
      <w:jc w:val="center"/>
      <w:tblLook w:val="04A0"/>
    </w:tblPr>
    <w:tblGrid>
      <w:gridCol w:w="3118"/>
      <w:gridCol w:w="3118"/>
      <w:gridCol w:w="3118"/>
    </w:tblGrid>
    <w:tr>
      <w:tc>
        <w:tcPr>
          <w:tcW w:type="dxa" w:w="3118"/>
          <w:tcBorders>
            <w:top w:val="single" w:sz="2" w:space="0" w:color="D9EAF7"/>
            <w:left w:val="single" w:sz="2" w:space="0" w:color="D9EAF7"/>
            <w:bottom w:val="single" w:sz="2" w:space="0" w:color="D9EAF7"/>
            <w:right w:val="single" w:sz="2" w:space="0" w:color="D9EAF7"/>
          </w:tcBorders>
          <w:tcMar>
            <w:top w:w="40" w:type="dxa"/>
            <w:left w:w="50" w:type="dxa"/>
            <w:bottom w:w="40" w:type="dxa"/>
            <w:right w:w="5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000000"/>
              <w:sz w:val="15"/>
            </w:rPr>
            <w:t>ORGANIZATION LOGO</w:t>
          </w:r>
        </w:p>
      </w:tc>
      <w:tc>
        <w:tcPr>
          <w:tcW w:type="dxa" w:w="3118"/>
          <w:tcBorders>
            <w:top w:val="single" w:sz="2" w:space="0" w:color="D9EAF7"/>
            <w:left w:val="single" w:sz="2" w:space="0" w:color="D9EAF7"/>
            <w:bottom w:val="single" w:sz="2" w:space="0" w:color="D9EAF7"/>
            <w:right w:val="single" w:sz="2" w:space="0" w:color="D9EAF7"/>
          </w:tcBorders>
          <w:tcMar>
            <w:top w:w="40" w:type="dxa"/>
            <w:left w:w="50" w:type="dxa"/>
            <w:bottom w:w="40" w:type="dxa"/>
            <w:right w:w="5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5"/>
            </w:rPr>
            <w:t>[ORGANIZATION NAME]</w:t>
            <w:br/>
            <w:t>Laboratory Management Review Guidance</w:t>
          </w:r>
        </w:p>
      </w:tc>
      <w:tc>
        <w:tcPr>
          <w:tcW w:type="dxa" w:w="3118"/>
          <w:tcBorders>
            <w:top w:val="single" w:sz="2" w:space="0" w:color="D9EAF7"/>
            <w:left w:val="single" w:sz="2" w:space="0" w:color="D9EAF7"/>
            <w:bottom w:val="single" w:sz="2" w:space="0" w:color="D9EAF7"/>
            <w:right w:val="single" w:sz="2" w:space="0" w:color="D9EAF7"/>
          </w:tcBorders>
          <w:tcMar>
            <w:top w:w="40" w:type="dxa"/>
            <w:left w:w="50" w:type="dxa"/>
            <w:bottom w:w="40" w:type="dxa"/>
            <w:right w:w="5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000000"/>
              <w:sz w:val="15"/>
            </w:rPr>
            <w:t>LQMS-GUI-003</w:t>
            <w:br/>
            <w:t>Version 1.0</w:t>
            <w:br/>
            <w:t>2026-09-19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m="http://schemas.openxmlformats.org/officeDocument/2006/math" xmlns:v="urn:schemas-microsoft-com:vml"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 w:eastAsia="Cambr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Cambria" w:hAnsi="Cambria" w:eastAsia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40"/>
      <w:contextualSpacing/>
    </w:pPr>
    <w:rPr>
      <w:rFonts w:ascii="Cambria" w:hAnsi="Cambria" w:eastAsia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Cambria" w:hAnsi="Cambria" w:eastAsia="Cambria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>
  <w:allowPNG/>
  <w:doNotSaveAsSingleFile/>
</w:webSettings>
</file>

<file path=word/_rels/document.xml.rels><?xml version='1.0' encoding='UTF-8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Laboratory Management Review Guidance</dc:title>
  <dc:subject>ISO 15189:2022 laboratory quality management system document</dc:subject>
  <dc:creator>ISO Toolkits</dc:creator>
  <cp:keywords>ISO 15189, laboratory quality, LQMS, Guidance</cp:keywords>
  <dc:description>Practical ISO 15189 toolkit document. www.iso-toolkits.org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