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800"/>
        <w:jc w:val="center"/>
      </w:pPr>
      <w:r>
        <w:rPr>
          <w:rFonts w:ascii="Cambria" w:hAnsi="Cambria"/>
          <w:b/>
          <w:i w:val="0"/>
          <w:color w:val="1F4E79"/>
          <w:sz w:val="44"/>
        </w:rPr>
        <w:t>Laboratory Gap Analysis Guidance</w:t>
      </w:r>
    </w:p>
    <w:p>
      <w:pPr>
        <w:jc w:val="center"/>
      </w:pPr>
      <w:r>
        <w:rPr>
          <w:rFonts w:ascii="Cambria" w:hAnsi="Cambria"/>
          <w:b w:val="0"/>
          <w:i w:val="0"/>
          <w:color w:val="555555"/>
          <w:sz w:val="24"/>
        </w:rPr>
        <w:t>Method for conducting an evidence-based ISO 15189 gap assessment</w:t>
      </w:r>
    </w:p>
    <w:p>
      <w:pPr>
        <w:spacing w:before="200"/>
        <w:jc w:val="center"/>
      </w:pPr>
      <w:r>
        <w:rPr>
          <w:rFonts w:ascii="Cambria" w:hAnsi="Cambria"/>
          <w:b/>
          <w:i w:val="0"/>
          <w:color w:val="1F4E79"/>
          <w:sz w:val="21"/>
        </w:rPr>
        <w:t>ISO 15189:2022 — Medical laboratories — Requirements for quality and competence</w:t>
      </w:r>
    </w:p>
    <w:tbl>
      <w:tblPr>
        <w:tblStyle w:val="TableGrid"/>
        <w:tblW w:type="auto" w:w="0"/>
        <w:jc w:val="center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  <w:cantSplit/>
        </w:trPr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Document Code</w:t>
            </w:r>
          </w:p>
        </w:tc>
        <w:tc>
          <w:tcPr>
            <w:tcW w:type="dxa" w:w="2339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LQMS-GDE-002</w:t>
            </w:r>
          </w:p>
        </w:tc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Version</w:t>
            </w:r>
          </w:p>
        </w:tc>
        <w:tc>
          <w:tcPr>
            <w:tcW w:type="dxa" w:w="2339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1.0</w:t>
            </w:r>
          </w:p>
        </w:tc>
      </w:tr>
      <w:tr>
        <w:trPr>
          <w:cantSplit/>
        </w:trPr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Effective Date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2026-09-19</w:t>
            </w:r>
          </w:p>
        </w:tc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Classification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INTERNAL</w:t>
            </w:r>
          </w:p>
        </w:tc>
      </w:tr>
      <w:tr>
        <w:trPr>
          <w:cantSplit/>
        </w:trPr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Document Owner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[DOCUMENT OWNER]</w:t>
            </w:r>
          </w:p>
        </w:tc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Approver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[APPROVER]</w:t>
            </w:r>
          </w:p>
        </w:tc>
      </w:tr>
      <w:tr>
        <w:trPr>
          <w:cantSplit/>
        </w:trPr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Organization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[ORGANIZATION NAME]</w:t>
            </w:r>
          </w:p>
        </w:tc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Review Cycle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[ANNUAL / UPON CHANGE]</w:t>
            </w:r>
          </w:p>
        </w:tc>
      </w:tr>
      <w:tr>
        <w:trPr>
          <w:cantSplit/>
        </w:trPr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Website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www.iso-toolkits.org</w:t>
            </w:r>
          </w:p>
        </w:tc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Email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info@iso-toolkits.org</w:t>
            </w:r>
          </w:p>
        </w:tc>
      </w:tr>
    </w:tbl>
    <w:p/>
    <w:tbl>
      <w:tblPr>
        <w:tblW w:type="auto" w:w="0"/>
        <w:jc w:val="center"/>
        <w:tblLook w:val="04A0"/>
      </w:tblPr>
      <w:tblGrid>
        <w:gridCol w:w="9355"/>
      </w:tblGrid>
      <w:tr>
        <w:trPr>
          <w:cantSplit/>
        </w:trPr>
        <w:tc>
          <w:tcPr>
            <w:tcW w:type="dxa" w:w="9355"/>
            <w:tcBorders>
              <w:top w:val="single" w:sz="4" w:space="0" w:color="D6B656"/>
              <w:left w:val="single" w:sz="4" w:space="0" w:color="D6B656"/>
              <w:bottom w:val="single" w:sz="4" w:space="0" w:color="D6B656"/>
              <w:right w:val="single" w:sz="4" w:space="0" w:color="D6B656"/>
              <w:insideH w:val="single" w:sz="4" w:space="0" w:color="D6B656"/>
              <w:insideV w:val="single" w:sz="4" w:space="0" w:color="D6B656"/>
            </w:tcBorders>
            <w:shd w:fill="FFF2CC" w:val="clear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mbria" w:hAnsi="Cambria"/>
                <w:b w:val="0"/>
                <w:i/>
                <w:color w:val="C00000"/>
                <w:sz w:val="18"/>
              </w:rPr>
              <w:t>[Note] Replace organization-specific placeholders and confirm applicable statutory, regulatory, accreditation and payer requirements before controlled release.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  <w:spacing w:before="140" w:after="80"/>
        <w:keepNext/>
      </w:pPr>
      <w:r>
        <w:t>1. Purpose</w:t>
      </w:r>
    </w:p>
    <w:p>
      <w:pPr>
        <w:spacing w:after="80" w:line="259" w:lineRule="auto"/>
      </w:pPr>
      <w:r>
        <w:rPr>
          <w:rFonts w:ascii="Cambria" w:hAnsi="Cambria"/>
          <w:b w:val="0"/>
          <w:i w:val="0"/>
          <w:color w:val="000000"/>
          <w:sz w:val="21"/>
        </w:rPr>
        <w:t>This guidance provides a consistent method for assessing the current state of a medical laboratory against the intended requirements and operating outcomes of ISO 15189:2022. The objective is to identify evidence-based gaps, prioritize them according to risk and implementation impact, and convert them into a manageable action plan.</w:t>
      </w:r>
    </w:p>
    <w:p>
      <w:pPr>
        <w:pStyle w:val="Heading1"/>
        <w:spacing w:before="140" w:after="80"/>
        <w:keepNext/>
      </w:pPr>
      <w:r>
        <w:t>2. Assessment Principles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Assess actual practice and evidence, not only the existence of documents.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Use representative sampling across disciplines, shifts, sites, technologies and process stages.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Separate conformity gaps from improvement opportunities and implementation preferences.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Prioritize patient-safety, competence and result-reliability gaps over cosmetic documentation issues.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Record sufficient evidence so another competent reviewer can understand the basis of the conclusion.</w:t>
      </w:r>
    </w:p>
    <w:p>
      <w:pPr>
        <w:pStyle w:val="Heading1"/>
        <w:spacing w:before="140" w:after="80"/>
        <w:keepNext/>
      </w:pPr>
      <w:r>
        <w:t>3. Preparation</w:t>
      </w:r>
    </w:p>
    <w:tbl>
      <w:tblPr>
        <w:tblStyle w:val="TableGrid"/>
        <w:tblW w:type="auto" w:w="0"/>
        <w:jc w:val="center"/>
        <w:tblLook w:val="04A0"/>
      </w:tblPr>
      <w:tblGrid>
        <w:gridCol w:w="4677"/>
        <w:gridCol w:w="4677"/>
      </w:tblGrid>
      <w:tr>
        <w:trPr>
          <w:tblHeader w:val="true"/>
          <w:cantSplit/>
        </w:trPr>
        <w:tc>
          <w:tcPr>
            <w:tcW w:type="dxa" w:w="3402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Preparation activity</w:t>
            </w:r>
          </w:p>
        </w:tc>
        <w:tc>
          <w:tcPr>
            <w:tcW w:type="dxa" w:w="7087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Practical output</w:t>
            </w:r>
          </w:p>
        </w:tc>
      </w:tr>
      <w:tr>
        <w:trPr>
          <w:cantSplit/>
        </w:trPr>
        <w:tc>
          <w:tcPr>
            <w:tcW w:type="dxa" w:w="340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Define scope</w:t>
            </w:r>
          </w:p>
        </w:tc>
        <w:tc>
          <w:tcPr>
            <w:tcW w:type="dxa" w:w="708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Sites, disciplines, POCT, support functions and exclusions to be assessed.</w:t>
            </w:r>
          </w:p>
        </w:tc>
      </w:tr>
      <w:tr>
        <w:trPr>
          <w:cantSplit/>
        </w:trPr>
        <w:tc>
          <w:tcPr>
            <w:tcW w:type="dxa" w:w="340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Identify assessors</w:t>
            </w:r>
          </w:p>
        </w:tc>
        <w:tc>
          <w:tcPr>
            <w:tcW w:type="dxa" w:w="708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Competent personnel with appropriate independence and technical support.</w:t>
            </w:r>
          </w:p>
        </w:tc>
      </w:tr>
      <w:tr>
        <w:trPr>
          <w:cantSplit/>
        </w:trPr>
        <w:tc>
          <w:tcPr>
            <w:tcW w:type="dxa" w:w="340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Collect documents</w:t>
            </w:r>
          </w:p>
        </w:tc>
        <w:tc>
          <w:tcPr>
            <w:tcW w:type="dxa" w:w="708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Policies, manual, procedures, method files, competence records, QC/EQA, audits, CAPA, review records.</w:t>
            </w:r>
          </w:p>
        </w:tc>
      </w:tr>
      <w:tr>
        <w:trPr>
          <w:cantSplit/>
        </w:trPr>
        <w:tc>
          <w:tcPr>
            <w:tcW w:type="dxa" w:w="340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Create sampling plan</w:t>
            </w:r>
          </w:p>
        </w:tc>
        <w:tc>
          <w:tcPr>
            <w:tcW w:type="dxa" w:w="708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Processes, records, staff interviews, equipment and examination files to sample.</w:t>
            </w:r>
          </w:p>
        </w:tc>
      </w:tr>
      <w:tr>
        <w:trPr>
          <w:cantSplit/>
        </w:trPr>
        <w:tc>
          <w:tcPr>
            <w:tcW w:type="dxa" w:w="340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Confirm logistics</w:t>
            </w:r>
          </w:p>
        </w:tc>
        <w:tc>
          <w:tcPr>
            <w:tcW w:type="dxa" w:w="7087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Schedule interviews/observations without disrupting patient services.</w:t>
            </w:r>
          </w:p>
        </w:tc>
      </w:tr>
    </w:tbl>
    <w:p>
      <w:pPr>
        <w:spacing w:after="40"/>
      </w:pPr>
    </w:p>
    <w:p>
      <w:pPr>
        <w:pStyle w:val="Heading1"/>
        <w:spacing w:before="140" w:after="80"/>
        <w:keepNext/>
      </w:pPr>
      <w:r>
        <w:t>4. Evidence Collection Methods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Document review: confirm approved content, version, ownership and actual use.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Interview: test staff understanding of responsibilities, escalation and technical decisions.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Observation: compare documented processes with actual workflow and controls.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Record sampling: trace competence, maintenance, QC, EQA, nonconformity, critical results and other evidence.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Process tracing: follow a specimen or result end-to-end to test interface control and traceability.</w:t>
      </w:r>
    </w:p>
    <w:p>
      <w:pPr>
        <w:pStyle w:val="Heading1"/>
        <w:spacing w:before="140" w:after="80"/>
        <w:keepNext/>
      </w:pPr>
      <w:r>
        <w:t>5. Assessment Status Model</w:t>
      </w:r>
    </w:p>
    <w:tbl>
      <w:tblPr>
        <w:tblStyle w:val="TableGrid"/>
        <w:tblW w:type="auto" w:w="0"/>
        <w:jc w:val="center"/>
        <w:tblLook w:val="04A0"/>
      </w:tblPr>
      <w:tblGrid>
        <w:gridCol w:w="3118"/>
        <w:gridCol w:w="3118"/>
        <w:gridCol w:w="3118"/>
      </w:tblGrid>
      <w:tr>
        <w:trPr>
          <w:tblHeader w:val="true"/>
          <w:cantSplit/>
        </w:trPr>
        <w:tc>
          <w:tcPr>
            <w:tcW w:type="dxa" w:w="2551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Status</w:t>
            </w:r>
          </w:p>
        </w:tc>
        <w:tc>
          <w:tcPr>
            <w:tcW w:type="dxa" w:w="5386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Use when</w:t>
            </w:r>
          </w:p>
        </w:tc>
        <w:tc>
          <w:tcPr>
            <w:tcW w:type="dxa" w:w="3402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Typical action</w:t>
            </w:r>
          </w:p>
        </w:tc>
      </w:tr>
      <w:tr>
        <w:trPr>
          <w:cantSplit/>
        </w:trPr>
        <w:tc>
          <w:tcPr>
            <w:tcW w:type="dxa" w:w="255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Fully Implemented</w:t>
            </w:r>
          </w:p>
        </w:tc>
        <w:tc>
          <w:tcPr>
            <w:tcW w:type="dxa" w:w="5386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The process is defined, implemented, evidenced and functioning effectively.</w:t>
            </w:r>
          </w:p>
        </w:tc>
        <w:tc>
          <w:tcPr>
            <w:tcW w:type="dxa" w:w="340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Maintain and monitor.</w:t>
            </w:r>
          </w:p>
        </w:tc>
      </w:tr>
      <w:tr>
        <w:trPr>
          <w:cantSplit/>
        </w:trPr>
        <w:tc>
          <w:tcPr>
            <w:tcW w:type="dxa" w:w="255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Partially Implemented</w:t>
            </w:r>
          </w:p>
        </w:tc>
        <w:tc>
          <w:tcPr>
            <w:tcW w:type="dxa" w:w="5386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Some controls exist but coverage, consistency, evidence or effectiveness is incomplete.</w:t>
            </w:r>
          </w:p>
        </w:tc>
        <w:tc>
          <w:tcPr>
            <w:tcW w:type="dxa" w:w="340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Complete or strengthen the control.</w:t>
            </w:r>
          </w:p>
        </w:tc>
      </w:tr>
      <w:tr>
        <w:trPr>
          <w:cantSplit/>
        </w:trPr>
        <w:tc>
          <w:tcPr>
            <w:tcW w:type="dxa" w:w="255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Not Implemented</w:t>
            </w:r>
          </w:p>
        </w:tc>
        <w:tc>
          <w:tcPr>
            <w:tcW w:type="dxa" w:w="5386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The required control or reliable evidence is absent.</w:t>
            </w:r>
          </w:p>
        </w:tc>
        <w:tc>
          <w:tcPr>
            <w:tcW w:type="dxa" w:w="340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Create and implement a prioritized action.</w:t>
            </w:r>
          </w:p>
        </w:tc>
      </w:tr>
      <w:tr>
        <w:trPr>
          <w:cantSplit/>
        </w:trPr>
        <w:tc>
          <w:tcPr>
            <w:tcW w:type="dxa" w:w="255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N/A</w:t>
            </w:r>
          </w:p>
        </w:tc>
        <w:tc>
          <w:tcPr>
            <w:tcW w:type="dxa" w:w="5386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The criterion is not applicable to the defined laboratory scope and the rationale is defensible.</w:t>
            </w:r>
          </w:p>
        </w:tc>
        <w:tc>
          <w:tcPr>
            <w:tcW w:type="dxa" w:w="340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Record the rationale.</w:t>
            </w:r>
          </w:p>
        </w:tc>
      </w:tr>
      <w:tr>
        <w:trPr>
          <w:cantSplit/>
        </w:trPr>
        <w:tc>
          <w:tcPr>
            <w:tcW w:type="dxa" w:w="255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Not Assessed</w:t>
            </w:r>
          </w:p>
        </w:tc>
        <w:tc>
          <w:tcPr>
            <w:tcW w:type="dxa" w:w="5386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Evidence has not yet been reviewed.</w:t>
            </w:r>
          </w:p>
        </w:tc>
        <w:tc>
          <w:tcPr>
            <w:tcW w:type="dxa" w:w="340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Complete assessment before drawing a conclusion.</w:t>
            </w:r>
          </w:p>
        </w:tc>
      </w:tr>
    </w:tbl>
    <w:p>
      <w:pPr>
        <w:spacing w:after="40"/>
      </w:pPr>
    </w:p>
    <w:p>
      <w:pPr>
        <w:pStyle w:val="Heading1"/>
        <w:spacing w:before="140" w:after="80"/>
        <w:keepNext/>
      </w:pPr>
      <w:r>
        <w:t>6. Gap Analysis Workflow</w:t>
      </w:r>
    </w:p>
    <w:p>
      <w:pPr>
        <w:pStyle w:val="ListNumber"/>
        <w:spacing w:after="60"/>
      </w:pPr>
      <w:r>
        <w:rPr>
          <w:rFonts w:ascii="Cambria" w:hAnsi="Cambria"/>
          <w:b w:val="0"/>
          <w:i w:val="0"/>
          <w:color w:val="000000"/>
          <w:sz w:val="20"/>
        </w:rPr>
        <w:t>Start with governance, scope and service profile so the assessment boundaries are clear.</w:t>
      </w:r>
    </w:p>
    <w:p>
      <w:pPr>
        <w:pStyle w:val="ListNumber"/>
        <w:spacing w:after="60"/>
      </w:pPr>
      <w:r>
        <w:rPr>
          <w:rFonts w:ascii="Cambria" w:hAnsi="Cambria"/>
          <w:b w:val="0"/>
          <w:i w:val="0"/>
          <w:color w:val="000000"/>
          <w:sz w:val="20"/>
        </w:rPr>
        <w:t>Assess structural and resource controls, including competence, facilities, equipment, reagents, external services and information systems.</w:t>
      </w:r>
    </w:p>
    <w:p>
      <w:pPr>
        <w:pStyle w:val="ListNumber"/>
        <w:spacing w:after="60"/>
      </w:pPr>
      <w:r>
        <w:rPr>
          <w:rFonts w:ascii="Cambria" w:hAnsi="Cambria"/>
          <w:b w:val="0"/>
          <w:i w:val="0"/>
          <w:color w:val="000000"/>
          <w:sz w:val="20"/>
        </w:rPr>
        <w:t>Assess pre-examination, examination and post-examination processes using end-to-end evidence tracing.</w:t>
      </w:r>
    </w:p>
    <w:p>
      <w:pPr>
        <w:pStyle w:val="ListNumber"/>
        <w:spacing w:after="60"/>
      </w:pPr>
      <w:r>
        <w:rPr>
          <w:rFonts w:ascii="Cambria" w:hAnsi="Cambria"/>
          <w:b w:val="0"/>
          <w:i w:val="0"/>
          <w:color w:val="000000"/>
          <w:sz w:val="20"/>
        </w:rPr>
        <w:t>Assess management-system controls including document control, risk, nonconformity, complaints, continuity, indicators, audit and management review.</w:t>
      </w:r>
    </w:p>
    <w:p>
      <w:pPr>
        <w:pStyle w:val="ListNumber"/>
        <w:spacing w:after="60"/>
      </w:pPr>
      <w:r>
        <w:rPr>
          <w:rFonts w:ascii="Cambria" w:hAnsi="Cambria"/>
          <w:b w:val="0"/>
          <w:i w:val="0"/>
          <w:color w:val="000000"/>
          <w:sz w:val="20"/>
        </w:rPr>
        <w:t>Record each gap in clear operational language: what is missing or ineffective, the evidence observed, and the consequence or risk.</w:t>
      </w:r>
    </w:p>
    <w:p>
      <w:pPr>
        <w:pStyle w:val="ListNumber"/>
        <w:spacing w:after="60"/>
      </w:pPr>
      <w:r>
        <w:rPr>
          <w:rFonts w:ascii="Cambria" w:hAnsi="Cambria"/>
          <w:b w:val="0"/>
          <w:i w:val="0"/>
          <w:color w:val="000000"/>
          <w:sz w:val="20"/>
        </w:rPr>
        <w:t>Prioritize and assign actions; avoid combining unrelated causes into one vague action.</w:t>
      </w:r>
    </w:p>
    <w:p>
      <w:pPr>
        <w:pStyle w:val="ListNumber"/>
        <w:spacing w:after="60"/>
      </w:pPr>
      <w:r>
        <w:rPr>
          <w:rFonts w:ascii="Cambria" w:hAnsi="Cambria"/>
          <w:b w:val="0"/>
          <w:i w:val="0"/>
          <w:color w:val="000000"/>
          <w:sz w:val="20"/>
        </w:rPr>
        <w:t>Validate conclusions with relevant process owners before finalizing the report.</w:t>
      </w:r>
    </w:p>
    <w:p>
      <w:pPr>
        <w:pStyle w:val="ListNumber"/>
        <w:spacing w:after="60"/>
      </w:pPr>
      <w:r>
        <w:rPr>
          <w:rFonts w:ascii="Cambria" w:hAnsi="Cambria"/>
          <w:b w:val="0"/>
          <w:i w:val="0"/>
          <w:color w:val="000000"/>
          <w:sz w:val="20"/>
        </w:rPr>
        <w:t>Track actions to objective closure and reassess significant areas before accreditation readiness is declared.</w:t>
      </w:r>
    </w:p>
    <w:p>
      <w:pPr>
        <w:pStyle w:val="Heading1"/>
        <w:spacing w:before="140" w:after="80"/>
        <w:keepNext/>
      </w:pPr>
      <w:r>
        <w:t>7. Illustrative Gap Statements</w:t>
      </w:r>
    </w:p>
    <w:tbl>
      <w:tblPr>
        <w:tblW w:type="auto" w:w="0"/>
        <w:jc w:val="center"/>
        <w:tblLook w:val="04A0"/>
      </w:tblPr>
      <w:tblGrid>
        <w:gridCol w:w="9355"/>
      </w:tblGrid>
      <w:tr>
        <w:trPr>
          <w:cantSplit/>
        </w:trPr>
        <w:tc>
          <w:tcPr>
            <w:tcW w:type="dxa" w:w="9355"/>
            <w:tcBorders>
              <w:top w:val="single" w:sz="4" w:space="0" w:color="D6B656"/>
              <w:left w:val="single" w:sz="4" w:space="0" w:color="D6B656"/>
              <w:bottom w:val="single" w:sz="4" w:space="0" w:color="D6B656"/>
              <w:right w:val="single" w:sz="4" w:space="0" w:color="D6B656"/>
              <w:insideH w:val="single" w:sz="4" w:space="0" w:color="D6B656"/>
              <w:insideV w:val="single" w:sz="4" w:space="0" w:color="D6B656"/>
            </w:tcBorders>
            <w:shd w:fill="FFF2CC" w:val="clear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mbria" w:hAnsi="Cambria"/>
                <w:b w:val="0"/>
                <w:i/>
                <w:color w:val="C00000"/>
                <w:sz w:val="18"/>
              </w:rPr>
              <w:t>[Note] The following examples are Illustrative Data only. They demonstrate writing quality, not findings about any laboratory.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  <w:cantSplit/>
        </w:trPr>
        <w:tc>
          <w:tcPr>
            <w:tcW w:type="dxa" w:w="1361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5"/>
              </w:rPr>
              <w:t>Example ID</w:t>
            </w:r>
          </w:p>
        </w:tc>
        <w:tc>
          <w:tcPr>
            <w:tcW w:type="dxa" w:w="3515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5"/>
              </w:rPr>
              <w:t>Evidence observed</w:t>
            </w:r>
          </w:p>
        </w:tc>
        <w:tc>
          <w:tcPr>
            <w:tcW w:type="dxa" w:w="1984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5"/>
              </w:rPr>
              <w:t>Assessment</w:t>
            </w:r>
          </w:p>
        </w:tc>
        <w:tc>
          <w:tcPr>
            <w:tcW w:type="dxa" w:w="5272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5"/>
              </w:rPr>
              <w:t>Example gap statement</w:t>
            </w:r>
          </w:p>
        </w:tc>
        <w:tc>
          <w:tcPr>
            <w:tcW w:type="dxa" w:w="2948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5"/>
              </w:rPr>
              <w:t>Priority logic</w:t>
            </w:r>
          </w:p>
        </w:tc>
      </w:tr>
      <w:tr>
        <w:trPr>
          <w:cantSplit/>
        </w:trPr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EX-GAP-01</w:t>
            </w:r>
          </w:p>
        </w:tc>
        <w:tc>
          <w:tcPr>
            <w:tcW w:type="dxa" w:w="351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Method verification exists for two analyzers; one recently introduced method has only the manufacturer insert in its file.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Partially Implemented</w:t>
            </w:r>
          </w:p>
        </w:tc>
        <w:tc>
          <w:tcPr>
            <w:tcW w:type="dxa" w:w="527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The laboratory has not documented verification that the new method performs acceptably under local conditions before routine reporting.</w:t>
            </w:r>
          </w:p>
        </w:tc>
        <w:tc>
          <w:tcPr>
            <w:tcW w:type="dxa" w:w="294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High: result reliability could be affected.</w:t>
            </w:r>
          </w:p>
        </w:tc>
      </w:tr>
      <w:tr>
        <w:trPr>
          <w:cantSplit/>
        </w:trPr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EX-GAP-02</w:t>
            </w:r>
          </w:p>
        </w:tc>
        <w:tc>
          <w:tcPr>
            <w:tcW w:type="dxa" w:w="351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Competence assessments are recorded annually, but result authorization is not linked to documented authorization status.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Partially Implemented</w:t>
            </w:r>
          </w:p>
        </w:tc>
        <w:tc>
          <w:tcPr>
            <w:tcW w:type="dxa" w:w="527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The laboratory cannot consistently demonstrate that only currently authorized personnel release results.</w:t>
            </w:r>
          </w:p>
        </w:tc>
        <w:tc>
          <w:tcPr>
            <w:tcW w:type="dxa" w:w="294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High: governance and patient-safety impact.</w:t>
            </w:r>
          </w:p>
        </w:tc>
      </w:tr>
      <w:tr>
        <w:trPr>
          <w:cantSplit/>
        </w:trPr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EX-GAP-03</w:t>
            </w:r>
          </w:p>
        </w:tc>
        <w:tc>
          <w:tcPr>
            <w:tcW w:type="dxa" w:w="351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Sample rejection reasons are recorded, but trends are not periodically analyzed.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Partially Implemented</w:t>
            </w:r>
          </w:p>
        </w:tc>
        <w:tc>
          <w:tcPr>
            <w:tcW w:type="dxa" w:w="527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Specimen-quality data are collected but are not used systematically to identify recurring pre-examination risks.</w:t>
            </w:r>
          </w:p>
        </w:tc>
        <w:tc>
          <w:tcPr>
            <w:tcW w:type="dxa" w:w="294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Medium: improvement opportunity with patient-service impact.</w:t>
            </w:r>
          </w:p>
        </w:tc>
      </w:tr>
      <w:tr>
        <w:trPr>
          <w:cantSplit/>
        </w:trPr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EX-GAP-04</w:t>
            </w:r>
          </w:p>
        </w:tc>
        <w:tc>
          <w:tcPr>
            <w:tcW w:type="dxa" w:w="351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Critical results are phoned to clinical areas; acknowledgement time is not always captured.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Partially Implemented</w:t>
            </w:r>
          </w:p>
        </w:tc>
        <w:tc>
          <w:tcPr>
            <w:tcW w:type="dxa" w:w="527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Critical-result communication is not consistently traceable to recipient acknowledgement and time.</w:t>
            </w:r>
          </w:p>
        </w:tc>
        <w:tc>
          <w:tcPr>
            <w:tcW w:type="dxa" w:w="294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High: delay or miscommunication may affect care.</w:t>
            </w:r>
          </w:p>
        </w:tc>
      </w:tr>
      <w:tr>
        <w:trPr>
          <w:cantSplit/>
        </w:trPr>
        <w:tc>
          <w:tcPr>
            <w:tcW w:type="dxa" w:w="1361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EX-GAP-05</w:t>
            </w:r>
          </w:p>
        </w:tc>
        <w:tc>
          <w:tcPr>
            <w:tcW w:type="dxa" w:w="351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Internal audits cover document control and complaints but have not sampled technical examination processes.</w:t>
            </w:r>
          </w:p>
        </w:tc>
        <w:tc>
          <w:tcPr>
            <w:tcW w:type="dxa" w:w="1984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Not Implemented</w:t>
            </w:r>
          </w:p>
        </w:tc>
        <w:tc>
          <w:tcPr>
            <w:tcW w:type="dxa" w:w="5272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The audit programme does not yet provide assurance across the laboratory’s technical processes.</w:t>
            </w:r>
          </w:p>
        </w:tc>
        <w:tc>
          <w:tcPr>
            <w:tcW w:type="dxa" w:w="294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5"/>
              </w:rPr>
              <w:t>Medium/High depending on technical risk and maturity.</w:t>
            </w:r>
          </w:p>
        </w:tc>
      </w:tr>
    </w:tbl>
    <w:p>
      <w:pPr>
        <w:spacing w:after="40"/>
      </w:pPr>
    </w:p>
    <w:p>
      <w:pPr>
        <w:pStyle w:val="Heading1"/>
        <w:spacing w:before="140" w:after="80"/>
        <w:keepNext/>
      </w:pPr>
      <w:r>
        <w:t>8. Prioritization</w:t>
      </w:r>
    </w:p>
    <w:p>
      <w:pPr>
        <w:spacing w:after="80" w:line="259" w:lineRule="auto"/>
      </w:pPr>
      <w:r>
        <w:rPr>
          <w:rFonts w:ascii="Cambria" w:hAnsi="Cambria"/>
          <w:b w:val="0"/>
          <w:i w:val="0"/>
          <w:color w:val="000000"/>
          <w:sz w:val="21"/>
        </w:rPr>
        <w:t>Prioritization should combine the potential impact on patients or result reliability, regulatory/accreditation significance, breadth of exposure, recurrence, detectability and implementation dependency. A high-priority gap is one that warrants accelerated control, not simply one with extensive documentation work.</w:t>
      </w:r>
    </w:p>
    <w:p>
      <w:pPr>
        <w:pStyle w:val="Heading1"/>
        <w:spacing w:before="140" w:after="80"/>
        <w:keepNext/>
      </w:pPr>
      <w:r>
        <w:t>9. Reporting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Executive summary: scope, overall readiness themes, strengths and priority risks.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Detailed gap register: criterion, evidence, status, gap statement, priority and action owner.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Action plan: specific deliverables, accountable owner, due date, dependencies and closure evidence.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Limitations: areas not assessed, unavailable evidence and sampling constraints.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Reassessment plan: timing and criteria for verifying closure of significant gaps.</w:t>
      </w:r>
    </w:p>
    <w:p>
      <w:pPr>
        <w:pStyle w:val="Heading1"/>
        <w:spacing w:before="140" w:after="80"/>
        <w:keepNext/>
      </w:pPr>
      <w:r>
        <w:t>10. Common Failure Modes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Scoring without evidence or based only on staff statements.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Treating the presence of a procedure as proof the process is implemented.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Writing vague gaps such as “procedure inadequate” without describing the missing control.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Using one generic action such as “update SOP” where training, authorization, system configuration or technical verification is also required.</w:t>
      </w:r>
    </w:p>
    <w:p>
      <w:pPr>
        <w:pStyle w:val="ListBullet"/>
        <w:spacing w:after="40"/>
        <w:ind w:left="283" w:hanging="142"/>
      </w:pPr>
      <w:r>
        <w:rPr>
          <w:rFonts w:ascii="Cambria" w:hAnsi="Cambria"/>
          <w:b w:val="0"/>
          <w:i w:val="0"/>
          <w:color w:val="000000"/>
          <w:sz w:val="20"/>
        </w:rPr>
        <w:t>Declaring readiness while high-risk technical or patient-safety gaps remain open.</w:t>
      </w:r>
    </w:p>
    <w:p>
      <w:pPr>
        <w:pStyle w:val="Heading1"/>
        <w:spacing w:before="140" w:after="80"/>
        <w:keepNext/>
      </w:pPr>
      <w:r>
        <w:t>References</w:t>
      </w:r>
    </w:p>
    <w:tbl>
      <w:tblPr>
        <w:tblStyle w:val="TableGrid"/>
        <w:tblW w:type="auto" w:w="0"/>
        <w:jc w:val="center"/>
        <w:tblLook w:val="04A0"/>
      </w:tblPr>
      <w:tblGrid>
        <w:gridCol w:w="3118"/>
        <w:gridCol w:w="3118"/>
        <w:gridCol w:w="3118"/>
      </w:tblGrid>
      <w:tr>
        <w:trPr>
          <w:tblHeader w:val="true"/>
          <w:cantSplit/>
        </w:trPr>
        <w:tc>
          <w:tcPr>
            <w:tcW w:type="dxa" w:w="1928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6"/>
              </w:rPr>
              <w:t>Reference</w:t>
            </w:r>
          </w:p>
        </w:tc>
        <w:tc>
          <w:tcPr>
            <w:tcW w:type="dxa" w:w="5216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6"/>
              </w:rPr>
              <w:t>Title</w:t>
            </w:r>
          </w:p>
        </w:tc>
        <w:tc>
          <w:tcPr>
            <w:tcW w:type="dxa" w:w="3515"/>
            <w:vAlign w:val="center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6"/>
              </w:rPr>
              <w:t>Official source</w:t>
            </w:r>
          </w:p>
        </w:tc>
      </w:tr>
      <w:tr>
        <w:trPr>
          <w:cantSplit/>
        </w:trPr>
        <w:tc>
          <w:tcPr>
            <w:tcW w:type="dxa" w:w="192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ISO 15189:2022</w:t>
            </w:r>
          </w:p>
        </w:tc>
        <w:tc>
          <w:tcPr>
            <w:tcW w:type="dxa" w:w="5216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Medical laboratories — Requirements for quality and competence</w:t>
            </w:r>
          </w:p>
        </w:tc>
        <w:tc>
          <w:tcPr>
            <w:tcW w:type="dxa" w:w="351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https://www.iso.org/standard/76677.html</w:t>
            </w:r>
          </w:p>
        </w:tc>
      </w:tr>
      <w:tr>
        <w:trPr>
          <w:cantSplit/>
        </w:trPr>
        <w:tc>
          <w:tcPr>
            <w:tcW w:type="dxa" w:w="192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ISO 20658:2023</w:t>
            </w:r>
          </w:p>
        </w:tc>
        <w:tc>
          <w:tcPr>
            <w:tcW w:type="dxa" w:w="5216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Requirements for the collection and transport of samples for medical laboratory examinations</w:t>
            </w:r>
          </w:p>
        </w:tc>
        <w:tc>
          <w:tcPr>
            <w:tcW w:type="dxa" w:w="351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https://www.iso.org/standard/80035.html</w:t>
            </w:r>
          </w:p>
        </w:tc>
      </w:tr>
      <w:tr>
        <w:trPr>
          <w:cantSplit/>
        </w:trPr>
        <w:tc>
          <w:tcPr>
            <w:tcW w:type="dxa" w:w="1928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ISO 22367:2026</w:t>
            </w:r>
          </w:p>
        </w:tc>
        <w:tc>
          <w:tcPr>
            <w:tcW w:type="dxa" w:w="5216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Medical laboratories — Application of risk management to medical laboratories</w:t>
            </w:r>
          </w:p>
        </w:tc>
        <w:tc>
          <w:tcPr>
            <w:tcW w:type="dxa" w:w="3515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https://www.iso.org/standard/87738.html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val="04A0"/>
      </w:tblPr>
      <w:tblGrid>
        <w:gridCol w:w="9355"/>
      </w:tblGrid>
      <w:tr>
        <w:trPr>
          <w:cantSplit/>
        </w:trPr>
        <w:tc>
          <w:tcPr>
            <w:tcW w:type="dxa" w:w="9355"/>
            <w:tcBorders>
              <w:top w:val="single" w:sz="4" w:space="0" w:color="D6B656"/>
              <w:left w:val="single" w:sz="4" w:space="0" w:color="D6B656"/>
              <w:bottom w:val="single" w:sz="4" w:space="0" w:color="D6B656"/>
              <w:right w:val="single" w:sz="4" w:space="0" w:color="D6B656"/>
              <w:insideH w:val="single" w:sz="4" w:space="0" w:color="D6B656"/>
              <w:insideV w:val="single" w:sz="4" w:space="0" w:color="D6B656"/>
            </w:tcBorders>
            <w:shd w:fill="FFF2CC" w:val="clear"/>
            <w:tcMar>
              <w:top w:w="80" w:type="dxa"/>
              <w:left w:w="110" w:type="dxa"/>
              <w:bottom w:w="8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mbria" w:hAnsi="Cambria"/>
                <w:b w:val="0"/>
                <w:i/>
                <w:color w:val="C00000"/>
                <w:sz w:val="18"/>
              </w:rPr>
              <w:t>[Note] Use the organization’s authorized copy of the applicable standard as the definitive reference. This document paraphrases requirements and does not reproduce the standard text.</w:t>
            </w:r>
          </w:p>
        </w:tc>
      </w:tr>
    </w:tbl>
    <w:p>
      <w:pPr>
        <w:spacing w:after="20"/>
      </w:pPr>
    </w:p>
    <w:p>
      <w:pPr>
        <w:pStyle w:val="Heading1"/>
        <w:spacing w:before="140" w:after="80"/>
        <w:keepNext/>
      </w:pPr>
      <w:r>
        <w:t>Revision and Approval</w:t>
      </w:r>
    </w:p>
    <w:tbl>
      <w:tblPr>
        <w:tblStyle w:val="TableGrid"/>
        <w:tblW w:type="auto" w:w="0"/>
        <w:jc w:val="center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  <w:cantSplit/>
        </w:trPr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Version</w:t>
            </w:r>
          </w:p>
        </w:tc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Date</w:t>
            </w:r>
          </w:p>
        </w:tc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Description</w:t>
            </w:r>
          </w:p>
        </w:tc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Approval Status</w:t>
            </w:r>
          </w:p>
        </w:tc>
      </w:tr>
      <w:tr>
        <w:trPr>
          <w:cantSplit/>
        </w:trPr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1.0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2026-09-19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Initial issue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Approved / [STATUS]</w:t>
            </w:r>
          </w:p>
        </w:tc>
      </w:tr>
      <w:tr>
        <w:trPr>
          <w:cantSplit/>
        </w:trPr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Prepared by</w:t>
            </w:r>
          </w:p>
        </w:tc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Reviewed by</w:t>
            </w:r>
          </w:p>
        </w:tc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Approved by</w:t>
            </w:r>
          </w:p>
        </w:tc>
        <w:tc>
          <w:tcPr>
            <w:tcW w:type="dxa" w:w="2339"/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  <w:shd w:fill="FAFCFD" w:val="clear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Approval Date</w:t>
            </w:r>
          </w:p>
        </w:tc>
      </w:tr>
      <w:tr>
        <w:trPr>
          <w:cantSplit/>
        </w:trPr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[DOCUMENT OWNER]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[REVIEWER]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[APPROVER]</w:t>
            </w:r>
          </w:p>
        </w:tc>
        <w:tc>
          <w:tcPr>
            <w:tcW w:type="dxa" w:w="2339"/>
            <w:vAlign w:val="top"/>
            <w:tcMar>
              <w:top w:w="70" w:type="dxa"/>
              <w:left w:w="80" w:type="dxa"/>
              <w:bottom w:w="70" w:type="dxa"/>
              <w:right w:w="80" w:type="dxa"/>
            </w:tcMar>
            <w:tcBorders>
              <w:top w:val="single" w:sz="4" w:space="0" w:color="A6B8C7"/>
              <w:left w:val="single" w:sz="4" w:space="0" w:color="A6B8C7"/>
              <w:bottom w:val="single" w:sz="4" w:space="0" w:color="A6B8C7"/>
              <w:right w:val="single" w:sz="4" w:space="0" w:color="A6B8C7"/>
              <w:insideH w:val="single" w:sz="4" w:space="0" w:color="A6B8C7"/>
              <w:insideV w:val="single" w:sz="4" w:space="0" w:color="A6B8C7"/>
            </w:tcBorders>
          </w:tcPr>
          <w:p>
            <w:pPr>
              <w:spacing w:after="0" w:line="240" w:lineRule="auto"/>
            </w:pPr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[DATE]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jc w:val="center"/>
    </w:pPr>
    <w:r>
      <w:rPr>
        <w:rFonts w:ascii="Cambria" w:hAnsi="Cambria"/>
        <w:b w:val="0"/>
        <w:i w:val="0"/>
        <w:color w:val="666666"/>
        <w:sz w:val="16"/>
      </w:rPr>
      <w:t>ISO TOOLKITS DOCUMENT | www.iso-toolkits.org | info@iso-toolkits.org | INTERNAL</w:t>
    </w:r>
  </w:p>
  <w:p>
    <w:pPr>
      <w:jc w:val="center"/>
    </w:pPr>
    <w:r>
      <w:rPr>
        <w:rFonts w:ascii="Cambria" w:hAnsi="Cambria"/>
        <w:color w:val="666666"/>
        <w:sz w:val="16"/>
      </w:rPr>
      <w:t xml:space="preserve">Page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</w:pPr>
  </w:p>
  <w:tbl>
    <w:tblPr>
      <w:tblW w:type="auto" w:w="0"/>
      <w:jc w:val="center"/>
      <w:tblLook w:val="04A0"/>
    </w:tblPr>
    <w:tblGrid>
      <w:gridCol w:w="3118"/>
      <w:gridCol w:w="3118"/>
      <w:gridCol w:w="3118"/>
    </w:tblGrid>
    <w:tr>
      <w:tc>
        <w:tcPr>
          <w:tcW w:type="dxa" w:w="1587"/>
          <w:tcBorders>
            <w:top w:val="single" w:sz="4" w:space="0" w:color="B7C9D6"/>
            <w:left w:val="single" w:sz="4" w:space="0" w:color="B7C9D6"/>
            <w:bottom w:val="single" w:sz="4" w:space="0" w:color="B7C9D6"/>
            <w:right w:val="single" w:sz="4" w:space="0" w:color="B7C9D6"/>
            <w:insideH w:val="single" w:sz="4" w:space="0" w:color="B7C9D6"/>
            <w:insideV w:val="single" w:sz="4" w:space="0" w:color="B7C9D6"/>
          </w:tcBorders>
          <w:tcMar>
            <w:top w:w="40" w:type="dxa"/>
            <w:left w:w="50" w:type="dxa"/>
            <w:bottom w:w="40" w:type="dxa"/>
            <w:right w:w="50" w:type="dxa"/>
          </w:tcMar>
        </w:tcPr>
        <w:p>
          <w:pPr>
            <w:jc w:val="center"/>
          </w:pPr>
          <w:r>
            <w:rPr>
              <w:rFonts w:ascii="Cambria" w:hAnsi="Cambria"/>
              <w:b w:val="0"/>
              <w:i w:val="0"/>
              <w:color w:val="000000"/>
              <w:sz w:val="16"/>
            </w:rPr>
            <w:t>ORGANIZATION</w:t>
            <w:br/>
            <w:t>LOGO</w:t>
          </w:r>
        </w:p>
      </w:tc>
      <w:tc>
        <w:tcPr>
          <w:tcW w:type="dxa" w:w="4535"/>
          <w:tcBorders>
            <w:top w:val="single" w:sz="4" w:space="0" w:color="B7C9D6"/>
            <w:left w:val="single" w:sz="4" w:space="0" w:color="B7C9D6"/>
            <w:bottom w:val="single" w:sz="4" w:space="0" w:color="B7C9D6"/>
            <w:right w:val="single" w:sz="4" w:space="0" w:color="B7C9D6"/>
            <w:insideH w:val="single" w:sz="4" w:space="0" w:color="B7C9D6"/>
            <w:insideV w:val="single" w:sz="4" w:space="0" w:color="B7C9D6"/>
          </w:tcBorders>
          <w:shd w:fill="EAF3F8" w:val="clear"/>
          <w:tcMar>
            <w:top w:w="40" w:type="dxa"/>
            <w:left w:w="50" w:type="dxa"/>
            <w:bottom w:w="40" w:type="dxa"/>
            <w:right w:w="50" w:type="dxa"/>
          </w:tcMar>
        </w:tcPr>
        <w:p>
          <w:pPr>
            <w:jc w:val="center"/>
          </w:pPr>
          <w:r>
            <w:rPr>
              <w:rFonts w:ascii="Cambria" w:hAnsi="Cambria"/>
              <w:b/>
              <w:i w:val="0"/>
              <w:color w:val="1F4E79"/>
              <w:sz w:val="16"/>
            </w:rPr>
            <w:t>[ORGANIZATION NAME]</w:t>
            <w:br/>
            <w:t>Laboratory Gap Analysis Guidance</w:t>
          </w:r>
        </w:p>
      </w:tc>
      <w:tc>
        <w:tcPr>
          <w:tcW w:type="dxa" w:w="2835"/>
          <w:tcBorders>
            <w:top w:val="single" w:sz="4" w:space="0" w:color="B7C9D6"/>
            <w:left w:val="single" w:sz="4" w:space="0" w:color="B7C9D6"/>
            <w:bottom w:val="single" w:sz="4" w:space="0" w:color="B7C9D6"/>
            <w:right w:val="single" w:sz="4" w:space="0" w:color="B7C9D6"/>
            <w:insideH w:val="single" w:sz="4" w:space="0" w:color="B7C9D6"/>
            <w:insideV w:val="single" w:sz="4" w:space="0" w:color="B7C9D6"/>
          </w:tcBorders>
          <w:tcMar>
            <w:top w:w="40" w:type="dxa"/>
            <w:left w:w="50" w:type="dxa"/>
            <w:bottom w:w="40" w:type="dxa"/>
            <w:right w:w="50" w:type="dxa"/>
          </w:tcMar>
        </w:tcPr>
        <w:p>
          <w:pPr>
            <w:jc w:val="center"/>
          </w:pPr>
          <w:r>
            <w:rPr>
              <w:rFonts w:ascii="Cambria" w:hAnsi="Cambria"/>
              <w:b w:val="0"/>
              <w:i w:val="0"/>
              <w:color w:val="000000"/>
              <w:sz w:val="16"/>
            </w:rPr>
            <w:t>LQMS-GDE-002</w:t>
            <w:br/>
            <w:t>Version 1.0</w:t>
            <w:br/>
            <w:t>2026-09-19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mbria" w:hAnsi="Cambria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mbria" w:hAnsi="Cambria"/>
      <w:b/>
      <w:bCs/>
      <w:color w:val="1F4E79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mbria" w:hAnsi="Cambria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Gap Analysis Guidance</dc:title>
  <dc:subject>ISO 15189:2022 — Medical laboratories — Requirements for quality and competence toolkit document</dc:subject>
  <dc:creator>ISO Toolkits</dc:creator>
  <cp:keywords>ISO 15189, medical laboratory, LQMS, quality, competence, accreditation</cp:keywords>
  <dc:description>Professional ISO 15189 toolkit document. Website: www.iso-toolkits.org; Email: info@iso-toolkits.org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