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480" w:after="160"/>
        <w:jc w:val="center"/>
      </w:pPr>
      <w:r>
        <w:rPr>
          <w:rFonts w:ascii="Cambria" w:hAnsi="Cambria" w:eastAsia="Cambria"/>
          <w:b/>
          <w:i w:val="0"/>
          <w:color w:val="1F4E79"/>
          <w:sz w:val="40"/>
        </w:rPr>
        <w:t>Laboratory Audit Guidance</w:t>
      </w:r>
    </w:p>
    <w:p>
      <w:pPr>
        <w:spacing w:after="360"/>
        <w:jc w:val="center"/>
      </w:pPr>
      <w:r>
        <w:rPr>
          <w:rFonts w:ascii="Cambria" w:hAnsi="Cambria" w:eastAsia="Cambria"/>
          <w:b/>
          <w:i w:val="0"/>
          <w:color w:val="000000"/>
          <w:sz w:val="22"/>
        </w:rPr>
        <w:t>ISO 15189:2022 | Guidance</w:t>
      </w:r>
    </w:p>
    <w:tbl>
      <w:tblPr>
        <w:tblStyle w:val="TableGrid"/>
        <w:tblW w:type="auto" w:w="0"/>
        <w:jc w:val="center"/>
        <w:tblLook w:val="04A0"/>
      </w:tblPr>
      <w:tblGrid>
        <w:gridCol w:w="2339"/>
        <w:gridCol w:w="2339"/>
        <w:gridCol w:w="2339"/>
        <w:gridCol w:w="2339"/>
      </w:tblGrid>
      <w:tr>
        <w:trPr>
          <w:tblHeader w:val="true"/>
        </w:trPr>
        <w:tc>
          <w:tcPr>
            <w:tcW w:type="dxa" w:w="158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Field</w:t>
            </w:r>
          </w:p>
        </w:tc>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Value</w:t>
            </w:r>
          </w:p>
        </w:tc>
        <w:tc>
          <w:tcPr>
            <w:tcW w:type="dxa" w:w="158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Field</w:t>
            </w:r>
          </w:p>
        </w:tc>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Value</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Document Code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LQMS-GUI-001</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Version</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1.0</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Effective Date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2026-09-19</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Classification</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INTERNAL</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Document Owner</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[QUALITY MANAGER]</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Approver</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[LABORATORY DIRECTOR]</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Review Cycle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[ANNUAL / UPON CHANGE]</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Next Review</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[NEXT REVIEW DATE]</w:t>
            </w:r>
          </w:p>
        </w:tc>
      </w:tr>
    </w:tbl>
    <w:p>
      <w:pPr>
        <w:spacing w:before="0" w:after="0" w:line="252" w:lineRule="auto"/>
      </w:pPr>
    </w:p>
    <w:tbl>
      <w:tblPr>
        <w:tblW w:type="auto" w:w="0"/>
        <w:jc w:val="center"/>
        <w:tblLook w:val="04A0"/>
      </w:tblPr>
      <w:tblGrid>
        <w:gridCol w:w="9355"/>
      </w:tblGrid>
      <w:tr>
        <w:tc>
          <w:tcPr>
            <w:tcW w:type="dxa" w:w="9355"/>
            <w:shd w:fill="FFF2CC"/>
            <w:tcBorders>
              <w:top w:val="single" w:sz="4" w:space="0" w:color="D6B656"/>
              <w:left w:val="single" w:sz="4" w:space="0" w:color="D6B656"/>
              <w:bottom w:val="single" w:sz="4" w:space="0" w:color="D6B656"/>
              <w:right w:val="single" w:sz="4" w:space="0" w:color="D6B656"/>
            </w:tcBorders>
            <w:tcMar>
              <w:top w:w="80" w:type="dxa"/>
              <w:left w:w="100" w:type="dxa"/>
              <w:bottom w:w="80" w:type="dxa"/>
              <w:right w:w="100" w:type="dxa"/>
            </w:tcMar>
          </w:tcPr>
          <w:p>
            <w:pPr>
              <w:spacing w:before="0" w:after="0" w:line="252" w:lineRule="auto"/>
            </w:pPr>
            <w:r>
              <w:rPr>
                <w:rFonts w:ascii="Cambria" w:hAnsi="Cambria" w:eastAsia="Cambria"/>
                <w:b w:val="0"/>
                <w:i/>
                <w:color w:val="C00000"/>
                <w:sz w:val="19"/>
              </w:rPr>
              <w:t>[Note] Replace organization-specific placeholders before controlled release.</w:t>
            </w:r>
          </w:p>
        </w:tc>
      </w:tr>
    </w:tbl>
    <w:p>
      <w:pPr>
        <w:jc w:val="center"/>
      </w:pPr>
      <w:r>
        <w:rPr>
          <w:rFonts w:ascii="Cambria" w:hAnsi="Cambria" w:eastAsia="Cambria"/>
          <w:b/>
          <w:i w:val="0"/>
          <w:color w:val="666666"/>
          <w:sz w:val="17"/>
        </w:rPr>
        <w:t>ISO TOOLKITS DOCUMENT</w:t>
      </w:r>
    </w:p>
    <w:p>
      <w:pPr>
        <w:jc w:val="center"/>
      </w:pPr>
      <w:r>
        <w:rPr>
          <w:rFonts w:ascii="Calibri" w:hAnsi="Calibri" w:eastAsia="Calibri"/>
          <w:b w:val="0"/>
          <w:i w:val="0"/>
          <w:color w:val="666666"/>
          <w:sz w:val="17"/>
        </w:rPr>
        <w:t>www.iso-toolkits.org | info@iso-toolkits.org</w:t>
      </w:r>
    </w:p>
    <w:p>
      <w:r>
        <w:br w:type="page"/>
      </w:r>
    </w:p>
    <w:p>
      <w:pPr>
        <w:keepNext/>
        <w:spacing w:before="180" w:after="80"/>
        <w:pBdr>
          <w:bottom w:val="single" w:sz="8" w:space="2" w:color="D9EAF7"/>
        </w:pBdr>
      </w:pPr>
      <w:r>
        <w:rPr>
          <w:rFonts w:ascii="Cambria" w:hAnsi="Cambria" w:eastAsia="Cambria"/>
          <w:b/>
          <w:i w:val="0"/>
          <w:color w:val="000000"/>
          <w:sz w:val="25"/>
        </w:rPr>
        <w:t>1. Purpose and Use</w:t>
      </w:r>
    </w:p>
    <w:p>
      <w:pPr>
        <w:spacing w:before="0" w:after="80" w:line="252" w:lineRule="auto"/>
      </w:pPr>
      <w:r>
        <w:rPr>
          <w:rFonts w:ascii="Cambria" w:hAnsi="Cambria" w:eastAsia="Cambria"/>
          <w:b w:val="0"/>
          <w:i w:val="0"/>
          <w:color w:val="000000"/>
          <w:sz w:val="21"/>
        </w:rPr>
        <w:t>This guidance supports laboratories in planning and performing internal audits that are practical, risk-based and useful for improving the quality and competence of laboratory services. It is intended for audit programme managers, lead auditors, technical auditors and process owners.</w:t>
      </w:r>
    </w:p>
    <w:p>
      <w:pPr>
        <w:keepNext/>
        <w:spacing w:before="180" w:after="80"/>
        <w:pBdr>
          <w:bottom w:val="single" w:sz="8" w:space="2" w:color="D9EAF7"/>
        </w:pBdr>
      </w:pPr>
      <w:r>
        <w:rPr>
          <w:rFonts w:ascii="Cambria" w:hAnsi="Cambria" w:eastAsia="Cambria"/>
          <w:b/>
          <w:i w:val="0"/>
          <w:color w:val="000000"/>
          <w:sz w:val="25"/>
        </w:rPr>
        <w:t>2. Audit Programme Design</w:t>
      </w:r>
    </w:p>
    <w:p>
      <w:pPr>
        <w:pStyle w:val="ListBullet"/>
        <w:spacing w:before="0" w:after="40" w:line="252" w:lineRule="auto"/>
      </w:pPr>
      <w:r>
        <w:rPr>
          <w:rFonts w:ascii="Cambria" w:hAnsi="Cambria" w:eastAsia="Cambria"/>
          <w:b w:val="0"/>
          <w:i w:val="0"/>
          <w:color w:val="000000"/>
          <w:sz w:val="20"/>
        </w:rPr>
        <w:t>Map the laboratory's core processes: pre-examination, examination, post-examination and supporting management processes.</w:t>
      </w:r>
    </w:p>
    <w:p>
      <w:pPr>
        <w:pStyle w:val="ListBullet"/>
        <w:spacing w:before="0" w:after="40" w:line="252" w:lineRule="auto"/>
      </w:pPr>
      <w:r>
        <w:rPr>
          <w:rFonts w:ascii="Cambria" w:hAnsi="Cambria" w:eastAsia="Cambria"/>
          <w:b w:val="0"/>
          <w:i w:val="0"/>
          <w:color w:val="000000"/>
          <w:sz w:val="20"/>
        </w:rPr>
        <w:t>Prioritize areas associated with patient safety, result validity, recurring nonconformities, significant process change or poor performance trends.</w:t>
      </w:r>
    </w:p>
    <w:p>
      <w:pPr>
        <w:pStyle w:val="ListBullet"/>
        <w:spacing w:before="0" w:after="40" w:line="252" w:lineRule="auto"/>
      </w:pPr>
      <w:r>
        <w:rPr>
          <w:rFonts w:ascii="Cambria" w:hAnsi="Cambria" w:eastAsia="Cambria"/>
          <w:b w:val="0"/>
          <w:i w:val="0"/>
          <w:color w:val="000000"/>
          <w:sz w:val="20"/>
        </w:rPr>
        <w:t>Include management-system processes such as document control, competence, complaints, nonconforming work, corrective action, risk management and management review.</w:t>
      </w:r>
    </w:p>
    <w:p>
      <w:pPr>
        <w:pStyle w:val="ListBullet"/>
        <w:spacing w:before="0" w:after="40" w:line="252" w:lineRule="auto"/>
      </w:pPr>
      <w:r>
        <w:rPr>
          <w:rFonts w:ascii="Cambria" w:hAnsi="Cambria" w:eastAsia="Cambria"/>
          <w:b w:val="0"/>
          <w:i w:val="0"/>
          <w:color w:val="000000"/>
          <w:sz w:val="20"/>
        </w:rPr>
        <w:t>Include POCT activities where they fall within the laboratory's scope and responsibility.</w:t>
      </w:r>
    </w:p>
    <w:p>
      <w:pPr>
        <w:pStyle w:val="ListBullet"/>
        <w:spacing w:before="0" w:after="40" w:line="252" w:lineRule="auto"/>
      </w:pPr>
      <w:r>
        <w:rPr>
          <w:rFonts w:ascii="Cambria" w:hAnsi="Cambria" w:eastAsia="Cambria"/>
          <w:b w:val="0"/>
          <w:i w:val="0"/>
          <w:color w:val="000000"/>
          <w:sz w:val="20"/>
        </w:rPr>
        <w:t>Re-plan the programme when serious findings, external assessment results or major changes indicate that additional assurance is needed.</w:t>
      </w:r>
    </w:p>
    <w:p>
      <w:pPr>
        <w:keepNext/>
        <w:spacing w:before="180" w:after="80"/>
        <w:pBdr>
          <w:bottom w:val="single" w:sz="8" w:space="2" w:color="D9EAF7"/>
        </w:pBdr>
      </w:pPr>
      <w:r>
        <w:rPr>
          <w:rFonts w:ascii="Cambria" w:hAnsi="Cambria" w:eastAsia="Cambria"/>
          <w:b/>
          <w:i w:val="0"/>
          <w:color w:val="000000"/>
          <w:sz w:val="25"/>
        </w:rPr>
        <w:t>3. Auditor Competence and Independence</w:t>
      </w:r>
    </w:p>
    <w:tbl>
      <w:tblPr>
        <w:tblStyle w:val="TableGrid"/>
        <w:tblW w:type="auto" w:w="0"/>
        <w:jc w:val="center"/>
        <w:tblLook w:val="04A0"/>
      </w:tblPr>
      <w:tblGrid>
        <w:gridCol w:w="4677"/>
        <w:gridCol w:w="4677"/>
      </w:tblGrid>
      <w:tr>
        <w:trPr>
          <w:tblHeader w:val="true"/>
        </w:trPr>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Expectation</w:t>
            </w:r>
          </w:p>
        </w:tc>
        <w:tc>
          <w:tcPr>
            <w:tcW w:type="dxa" w:w="6690"/>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Practical application</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Competence</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Auditors understand audit methods and have sufficient laboratory/process knowledge for the assigned scope.</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Independence</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Auditors should not audit their own work where this would compromise objectivity.</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Confidentiality</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Patient, employee, commercial and laboratory information is protected throughout the audit.</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Evidence-based approach</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Conclusions are based on verifiable evidence and appropriate sampling, not assumption.</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Risk-based judgement</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Audit effort increases when a process can significantly affect patient care, result reliability or system effectiveness.</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4. Preparing an Audit</w:t>
      </w:r>
    </w:p>
    <w:p>
      <w:pPr>
        <w:pStyle w:val="ListNumber"/>
        <w:spacing w:before="0" w:after="40" w:line="252" w:lineRule="auto"/>
      </w:pPr>
      <w:r>
        <w:rPr>
          <w:rFonts w:ascii="Cambria" w:hAnsi="Cambria" w:eastAsia="Cambria"/>
          <w:b w:val="0"/>
          <w:i w:val="0"/>
          <w:color w:val="000000"/>
          <w:sz w:val="20"/>
        </w:rPr>
        <w:t>Confirm objectives, scope, criteria, locations, disciplines and audit boundaries.</w:t>
      </w:r>
    </w:p>
    <w:p>
      <w:pPr>
        <w:pStyle w:val="ListNumber"/>
        <w:spacing w:before="0" w:after="40" w:line="252" w:lineRule="auto"/>
      </w:pPr>
      <w:r>
        <w:rPr>
          <w:rFonts w:ascii="Cambria" w:hAnsi="Cambria" w:eastAsia="Cambria"/>
          <w:b w:val="0"/>
          <w:i w:val="0"/>
          <w:color w:val="000000"/>
          <w:sz w:val="20"/>
        </w:rPr>
        <w:t>Review prior audit findings, external assessment results, complaints, quality indicators, EQA/IQC concerns, nonconformities and significant changes.</w:t>
      </w:r>
    </w:p>
    <w:p>
      <w:pPr>
        <w:pStyle w:val="ListNumber"/>
        <w:spacing w:before="0" w:after="40" w:line="252" w:lineRule="auto"/>
      </w:pPr>
      <w:r>
        <w:rPr>
          <w:rFonts w:ascii="Cambria" w:hAnsi="Cambria" w:eastAsia="Cambria"/>
          <w:b w:val="0"/>
          <w:i w:val="0"/>
          <w:color w:val="000000"/>
          <w:sz w:val="20"/>
        </w:rPr>
        <w:t>Prepare a process-based audit plan with responsible contacts and realistic timing.</w:t>
      </w:r>
    </w:p>
    <w:p>
      <w:pPr>
        <w:pStyle w:val="ListNumber"/>
        <w:spacing w:before="0" w:after="40" w:line="252" w:lineRule="auto"/>
      </w:pPr>
      <w:r>
        <w:rPr>
          <w:rFonts w:ascii="Cambria" w:hAnsi="Cambria" w:eastAsia="Cambria"/>
          <w:b w:val="0"/>
          <w:i w:val="0"/>
          <w:color w:val="000000"/>
          <w:sz w:val="20"/>
        </w:rPr>
        <w:t>Develop audit questions that test implementation, competence, traceability and effectiveness rather than only document existence.</w:t>
      </w:r>
    </w:p>
    <w:p>
      <w:pPr>
        <w:pStyle w:val="ListNumber"/>
        <w:spacing w:before="0" w:after="40" w:line="252" w:lineRule="auto"/>
      </w:pPr>
      <w:r>
        <w:rPr>
          <w:rFonts w:ascii="Cambria" w:hAnsi="Cambria" w:eastAsia="Cambria"/>
          <w:b w:val="0"/>
          <w:i w:val="0"/>
          <w:color w:val="000000"/>
          <w:sz w:val="20"/>
        </w:rPr>
        <w:t>Select representative evidence sources and identify any high-risk records or processes that must be sampled.</w:t>
      </w:r>
    </w:p>
    <w:p>
      <w:pPr>
        <w:keepNext/>
        <w:spacing w:before="180" w:after="80"/>
        <w:pBdr>
          <w:bottom w:val="single" w:sz="8" w:space="2" w:color="D9EAF7"/>
        </w:pBdr>
      </w:pPr>
      <w:r>
        <w:rPr>
          <w:rFonts w:ascii="Cambria" w:hAnsi="Cambria" w:eastAsia="Cambria"/>
          <w:b/>
          <w:i w:val="0"/>
          <w:color w:val="000000"/>
          <w:sz w:val="25"/>
        </w:rPr>
        <w:t>5. Conducting the Audit</w:t>
      </w:r>
    </w:p>
    <w:p>
      <w:pPr>
        <w:spacing w:before="0" w:after="80" w:line="252" w:lineRule="auto"/>
      </w:pPr>
      <w:r>
        <w:rPr>
          <w:rFonts w:ascii="Cambria" w:hAnsi="Cambria" w:eastAsia="Cambria"/>
          <w:b w:val="0"/>
          <w:i w:val="0"/>
          <w:color w:val="000000"/>
          <w:sz w:val="21"/>
        </w:rPr>
        <w:t>Use an opening discussion to confirm scope and logistics. During the audit, combine interviews, observation, records and trace-through techniques so that one evidence source is not relied upon in isolation.</w:t>
      </w:r>
    </w:p>
    <w:tbl>
      <w:tblPr>
        <w:tblStyle w:val="TableGrid"/>
        <w:tblW w:type="auto" w:w="0"/>
        <w:jc w:val="center"/>
        <w:tblLook w:val="04A0"/>
      </w:tblPr>
      <w:tblGrid>
        <w:gridCol w:w="4677"/>
        <w:gridCol w:w="4677"/>
      </w:tblGrid>
      <w:tr>
        <w:trPr>
          <w:tblHeader w:val="true"/>
        </w:trPr>
        <w:tc>
          <w:tcPr>
            <w:tcW w:type="dxa" w:w="2154"/>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Process area</w:t>
            </w:r>
          </w:p>
        </w:tc>
        <w:tc>
          <w:tcPr>
            <w:tcW w:type="dxa" w:w="691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Examples of evidence to trace</w:t>
            </w:r>
          </w:p>
        </w:tc>
      </w:tr>
      <w:tr>
        <w:trPr>
          <w:cantSplit/>
        </w:trPr>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Pre-examination</w:t>
            </w:r>
          </w:p>
        </w:tc>
        <w:tc>
          <w:tcPr>
            <w:tcW w:type="dxa" w:w="691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Request acceptance, patient/specimen identification, collection instructions, transport conditions, specimen receipt, acceptance/rejection decisions.</w:t>
            </w:r>
          </w:p>
        </w:tc>
      </w:tr>
      <w:tr>
        <w:trPr>
          <w:cantSplit/>
        </w:trPr>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Examination</w:t>
            </w:r>
          </w:p>
        </w:tc>
        <w:tc>
          <w:tcPr>
            <w:tcW w:type="dxa" w:w="691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Method implementation, equipment status, reagents, metrological traceability where applicable, IQC/EQA, result calculations, competence, environmental controls.</w:t>
            </w:r>
          </w:p>
        </w:tc>
      </w:tr>
      <w:tr>
        <w:trPr>
          <w:cantSplit/>
        </w:trPr>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Post-examination</w:t>
            </w:r>
          </w:p>
        </w:tc>
        <w:tc>
          <w:tcPr>
            <w:tcW w:type="dxa" w:w="691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Technical review, result authorization, critical-result communication, amended reports, report transmission, sample storage/disposal.</w:t>
            </w:r>
          </w:p>
        </w:tc>
      </w:tr>
      <w:tr>
        <w:trPr>
          <w:cantSplit/>
        </w:trPr>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Support processes</w:t>
            </w:r>
          </w:p>
        </w:tc>
        <w:tc>
          <w:tcPr>
            <w:tcW w:type="dxa" w:w="691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Document control, purchasing, referral laboratories, inventory, competence, information systems, complaints, occurrence/nonconformity management.</w:t>
            </w:r>
          </w:p>
        </w:tc>
      </w:tr>
      <w:tr>
        <w:trPr>
          <w:cantSplit/>
        </w:trPr>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Management system</w:t>
            </w:r>
          </w:p>
        </w:tc>
        <w:tc>
          <w:tcPr>
            <w:tcW w:type="dxa" w:w="691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Quality objectives, indicators, risks/opportunities, internal audit, corrective action, improvement and management review.</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6. Sampling</w:t>
      </w:r>
    </w:p>
    <w:p>
      <w:pPr>
        <w:spacing w:before="0" w:after="80" w:line="252" w:lineRule="auto"/>
      </w:pPr>
      <w:r>
        <w:rPr>
          <w:rFonts w:ascii="Cambria" w:hAnsi="Cambria" w:eastAsia="Cambria"/>
          <w:b w:val="0"/>
          <w:i w:val="0"/>
          <w:color w:val="000000"/>
          <w:sz w:val="21"/>
        </w:rPr>
        <w:t>Sampling is necessary in most internal audits. Select samples deliberately so they are representative of different shifts, instruments, examination groups, personnel, dates or risk scenarios. Record the sample basis when it materially affects the conclusion.</w:t>
      </w:r>
    </w:p>
    <w:tbl>
      <w:tblPr>
        <w:tblW w:type="auto" w:w="0"/>
        <w:jc w:val="center"/>
        <w:tblLook w:val="04A0"/>
      </w:tblPr>
      <w:tblGrid>
        <w:gridCol w:w="9355"/>
      </w:tblGrid>
      <w:tr>
        <w:tc>
          <w:tcPr>
            <w:tcW w:type="dxa" w:w="9355"/>
            <w:shd w:fill="FFF2CC"/>
            <w:tcBorders>
              <w:top w:val="single" w:sz="4" w:space="0" w:color="D6B656"/>
              <w:left w:val="single" w:sz="4" w:space="0" w:color="D6B656"/>
              <w:bottom w:val="single" w:sz="4" w:space="0" w:color="D6B656"/>
              <w:right w:val="single" w:sz="4" w:space="0" w:color="D6B656"/>
            </w:tcBorders>
            <w:tcMar>
              <w:top w:w="80" w:type="dxa"/>
              <w:left w:w="100" w:type="dxa"/>
              <w:bottom w:w="80" w:type="dxa"/>
              <w:right w:w="100" w:type="dxa"/>
            </w:tcMar>
          </w:tcPr>
          <w:p>
            <w:pPr>
              <w:spacing w:before="0" w:after="0" w:line="252" w:lineRule="auto"/>
            </w:pPr>
            <w:r>
              <w:rPr>
                <w:rFonts w:ascii="Cambria" w:hAnsi="Cambria" w:eastAsia="Cambria"/>
                <w:b w:val="0"/>
                <w:i/>
                <w:color w:val="C00000"/>
                <w:sz w:val="19"/>
              </w:rPr>
              <w:t>[Note] An audit conclusion applies to the evidence sampled. Avoid language that implies every record or activity was checked unless that is actually true.</w:t>
            </w:r>
          </w:p>
        </w:tc>
      </w:tr>
    </w:tbl>
    <w:p>
      <w:pPr>
        <w:keepNext/>
        <w:spacing w:before="180" w:after="80"/>
        <w:pBdr>
          <w:bottom w:val="single" w:sz="8" w:space="2" w:color="D9EAF7"/>
        </w:pBdr>
      </w:pPr>
      <w:r>
        <w:rPr>
          <w:rFonts w:ascii="Cambria" w:hAnsi="Cambria" w:eastAsia="Cambria"/>
          <w:b/>
          <w:i w:val="0"/>
          <w:color w:val="000000"/>
          <w:sz w:val="25"/>
        </w:rPr>
        <w:t>7. Writing Audit Findings</w:t>
      </w:r>
    </w:p>
    <w:tbl>
      <w:tblPr>
        <w:tblStyle w:val="TableGrid"/>
        <w:tblW w:type="auto" w:w="0"/>
        <w:jc w:val="center"/>
        <w:tblLook w:val="04A0"/>
      </w:tblPr>
      <w:tblGrid>
        <w:gridCol w:w="4677"/>
        <w:gridCol w:w="4677"/>
      </w:tblGrid>
      <w:tr>
        <w:trPr>
          <w:tblHeader w:val="true"/>
        </w:trPr>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Finding component</w:t>
            </w:r>
          </w:p>
        </w:tc>
        <w:tc>
          <w:tcPr>
            <w:tcW w:type="dxa" w:w="6690"/>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Good practice</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Criterion</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State the applicable requirement or approved internal control.</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Objective evidence</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Describe the record, observation or interview evidence with enough detail for another reviewer to understand it.</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Gap</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Explain how the evidence fails to meet the criterion.</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Risk / significance</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Describe the potential impact without exaggeration.</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Classification</w:t>
            </w:r>
          </w:p>
        </w:tc>
        <w:tc>
          <w:tcPr>
            <w:tcW w:type="dxa" w:w="669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Use the laboratory's approved definitions for major/minor nonconformity, observation or opportunity.</w:t>
            </w:r>
          </w:p>
        </w:tc>
      </w:tr>
    </w:tbl>
    <w:p>
      <w:pPr>
        <w:spacing w:before="0" w:after="0" w:line="252" w:lineRule="auto"/>
      </w:pPr>
    </w:p>
    <w:p>
      <w:pPr>
        <w:spacing w:before="0" w:after="80" w:line="252" w:lineRule="auto"/>
      </w:pPr>
      <w:r>
        <w:rPr>
          <w:rFonts w:ascii="Cambria" w:hAnsi="Cambria" w:eastAsia="Cambria"/>
          <w:b w:val="0"/>
          <w:i w:val="0"/>
          <w:color w:val="000000"/>
          <w:sz w:val="21"/>
        </w:rPr>
        <w:t>Strong finding statements are factual, specific and traceable. Avoid blame, speculation about motives, or solutions embedded in the finding unless the audit process specifically requires recommendations.</w:t>
      </w:r>
    </w:p>
    <w:p>
      <w:pPr>
        <w:keepNext/>
        <w:spacing w:before="180" w:after="80"/>
        <w:pBdr>
          <w:bottom w:val="single" w:sz="8" w:space="2" w:color="D9EAF7"/>
        </w:pBdr>
      </w:pPr>
      <w:r>
        <w:rPr>
          <w:rFonts w:ascii="Cambria" w:hAnsi="Cambria" w:eastAsia="Cambria"/>
          <w:b/>
          <w:i w:val="0"/>
          <w:color w:val="000000"/>
          <w:sz w:val="25"/>
        </w:rPr>
        <w:t>8. Audit Reporting</w:t>
      </w:r>
    </w:p>
    <w:p>
      <w:pPr>
        <w:pStyle w:val="ListBullet"/>
        <w:spacing w:before="0" w:after="40" w:line="252" w:lineRule="auto"/>
      </w:pPr>
      <w:r>
        <w:rPr>
          <w:rFonts w:ascii="Cambria" w:hAnsi="Cambria" w:eastAsia="Cambria"/>
          <w:b w:val="0"/>
          <w:i w:val="0"/>
          <w:color w:val="000000"/>
          <w:sz w:val="20"/>
        </w:rPr>
        <w:t>Issue the report within the defined reporting period.</w:t>
      </w:r>
    </w:p>
    <w:p>
      <w:pPr>
        <w:pStyle w:val="ListBullet"/>
        <w:spacing w:before="0" w:after="40" w:line="252" w:lineRule="auto"/>
      </w:pPr>
      <w:r>
        <w:rPr>
          <w:rFonts w:ascii="Cambria" w:hAnsi="Cambria" w:eastAsia="Cambria"/>
          <w:b w:val="0"/>
          <w:i w:val="0"/>
          <w:color w:val="000000"/>
          <w:sz w:val="20"/>
        </w:rPr>
        <w:t>Summarize scope, methods, significant strengths, findings and overall conclusions.</w:t>
      </w:r>
    </w:p>
    <w:p>
      <w:pPr>
        <w:pStyle w:val="ListBullet"/>
        <w:spacing w:before="0" w:after="40" w:line="252" w:lineRule="auto"/>
      </w:pPr>
      <w:r>
        <w:rPr>
          <w:rFonts w:ascii="Cambria" w:hAnsi="Cambria" w:eastAsia="Cambria"/>
          <w:b w:val="0"/>
          <w:i w:val="0"/>
          <w:color w:val="000000"/>
          <w:sz w:val="20"/>
        </w:rPr>
        <w:t>Differentiate factual findings from improvement suggestions.</w:t>
      </w:r>
    </w:p>
    <w:p>
      <w:pPr>
        <w:pStyle w:val="ListBullet"/>
        <w:spacing w:before="0" w:after="40" w:line="252" w:lineRule="auto"/>
      </w:pPr>
      <w:r>
        <w:rPr>
          <w:rFonts w:ascii="Cambria" w:hAnsi="Cambria" w:eastAsia="Cambria"/>
          <w:b w:val="0"/>
          <w:i w:val="0"/>
          <w:color w:val="000000"/>
          <w:sz w:val="20"/>
        </w:rPr>
        <w:t>Highlight issues requiring immediate containment or escalation.</w:t>
      </w:r>
    </w:p>
    <w:p>
      <w:pPr>
        <w:pStyle w:val="ListBullet"/>
        <w:spacing w:before="0" w:after="40" w:line="252" w:lineRule="auto"/>
      </w:pPr>
      <w:r>
        <w:rPr>
          <w:rFonts w:ascii="Cambria" w:hAnsi="Cambria" w:eastAsia="Cambria"/>
          <w:b w:val="0"/>
          <w:i w:val="0"/>
          <w:color w:val="000000"/>
          <w:sz w:val="20"/>
        </w:rPr>
        <w:t>Protect confidential or patient-identifiable information in the report.</w:t>
      </w:r>
    </w:p>
    <w:p>
      <w:pPr>
        <w:keepNext/>
        <w:spacing w:before="180" w:after="80"/>
        <w:pBdr>
          <w:bottom w:val="single" w:sz="8" w:space="2" w:color="D9EAF7"/>
        </w:pBdr>
      </w:pPr>
      <w:r>
        <w:rPr>
          <w:rFonts w:ascii="Cambria" w:hAnsi="Cambria" w:eastAsia="Cambria"/>
          <w:b/>
          <w:i w:val="0"/>
          <w:color w:val="000000"/>
          <w:sz w:val="25"/>
        </w:rPr>
        <w:t>9. Corrective Action and Follow-up</w:t>
      </w:r>
    </w:p>
    <w:p>
      <w:pPr>
        <w:spacing w:before="0" w:after="80" w:line="252" w:lineRule="auto"/>
      </w:pPr>
      <w:r>
        <w:rPr>
          <w:rFonts w:ascii="Cambria" w:hAnsi="Cambria" w:eastAsia="Cambria"/>
          <w:b w:val="0"/>
          <w:i w:val="0"/>
          <w:color w:val="000000"/>
          <w:sz w:val="21"/>
        </w:rPr>
        <w:t>The process owner is responsible for correction and corrective action. The auditor or designated reviewer confirms that evidence is adequate and that effectiveness is verified when required. Recurring findings should trigger deeper cause evaluation and review of system-level controls.</w:t>
      </w:r>
    </w:p>
    <w:p>
      <w:pPr>
        <w:keepNext/>
        <w:spacing w:before="180" w:after="80"/>
        <w:pBdr>
          <w:bottom w:val="single" w:sz="8" w:space="2" w:color="D9EAF7"/>
        </w:pBdr>
      </w:pPr>
      <w:r>
        <w:rPr>
          <w:rFonts w:ascii="Cambria" w:hAnsi="Cambria" w:eastAsia="Cambria"/>
          <w:b/>
          <w:i w:val="0"/>
          <w:color w:val="000000"/>
          <w:sz w:val="25"/>
        </w:rPr>
        <w:t>10. Common Audit Pitfalls</w:t>
      </w:r>
    </w:p>
    <w:tbl>
      <w:tblPr>
        <w:tblStyle w:val="TableGrid"/>
        <w:tblW w:type="auto" w:w="0"/>
        <w:jc w:val="center"/>
        <w:tblLook w:val="04A0"/>
      </w:tblPr>
      <w:tblGrid>
        <w:gridCol w:w="4677"/>
        <w:gridCol w:w="4677"/>
      </w:tblGrid>
      <w:tr>
        <w:trPr>
          <w:tblHeader w:val="true"/>
        </w:trPr>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Pitfall</w:t>
            </w:r>
          </w:p>
        </w:tc>
        <w:tc>
          <w:tcPr>
            <w:tcW w:type="dxa" w:w="5953"/>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Better approach</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Auditing only against a checklist</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Follow processes and evidence trails across interfaces.</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Treating documents as proof of implementation</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Verify records, observation and staff understanding.</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Over-sampling low-risk records</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Focus effort on patient-safety and result-validity risks.</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Writing vague findings</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Link criterion, evidence and gap in one traceable statement.</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Closing actions on activity completion alone</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Verify intended outcome and recurrence risk.</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11. Audit Evidence Package</w:t>
      </w:r>
    </w:p>
    <w:tbl>
      <w:tblPr>
        <w:tblStyle w:val="TableGrid"/>
        <w:tblW w:type="auto" w:w="0"/>
        <w:jc w:val="center"/>
        <w:tblLook w:val="04A0"/>
      </w:tblPr>
      <w:tblGrid>
        <w:gridCol w:w="4677"/>
        <w:gridCol w:w="4677"/>
      </w:tblGrid>
      <w:tr>
        <w:trPr>
          <w:tblHeader w:val="true"/>
        </w:trPr>
        <w:tc>
          <w:tcPr>
            <w:tcW w:type="dxa" w:w="294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Record</w:t>
            </w:r>
          </w:p>
        </w:tc>
        <w:tc>
          <w:tcPr>
            <w:tcW w:type="dxa" w:w="6123"/>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Minimum content</w:t>
            </w:r>
          </w:p>
        </w:tc>
      </w:tr>
      <w:tr>
        <w:trPr>
          <w:cantSplit/>
        </w:trPr>
        <w:tc>
          <w:tcPr>
            <w:tcW w:type="dxa" w:w="294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Audit programme</w:t>
            </w:r>
          </w:p>
        </w:tc>
        <w:tc>
          <w:tcPr>
            <w:tcW w:type="dxa" w:w="612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Planned scope, frequency, responsibilities and status.</w:t>
            </w:r>
          </w:p>
        </w:tc>
      </w:tr>
      <w:tr>
        <w:trPr>
          <w:cantSplit/>
        </w:trPr>
        <w:tc>
          <w:tcPr>
            <w:tcW w:type="dxa" w:w="294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Audit plan</w:t>
            </w:r>
          </w:p>
        </w:tc>
        <w:tc>
          <w:tcPr>
            <w:tcW w:type="dxa" w:w="612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Objective, scope, criteria, timing, team and auditees.</w:t>
            </w:r>
          </w:p>
        </w:tc>
      </w:tr>
      <w:tr>
        <w:trPr>
          <w:cantSplit/>
        </w:trPr>
        <w:tc>
          <w:tcPr>
            <w:tcW w:type="dxa" w:w="294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Working papers</w:t>
            </w:r>
          </w:p>
        </w:tc>
        <w:tc>
          <w:tcPr>
            <w:tcW w:type="dxa" w:w="612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Questions, evidence references and sampling notes.</w:t>
            </w:r>
          </w:p>
        </w:tc>
      </w:tr>
      <w:tr>
        <w:trPr>
          <w:cantSplit/>
        </w:trPr>
        <w:tc>
          <w:tcPr>
            <w:tcW w:type="dxa" w:w="294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Audit report</w:t>
            </w:r>
          </w:p>
        </w:tc>
        <w:tc>
          <w:tcPr>
            <w:tcW w:type="dxa" w:w="612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Conclusions, findings, strengths and distribution.</w:t>
            </w:r>
          </w:p>
        </w:tc>
      </w:tr>
      <w:tr>
        <w:trPr>
          <w:cantSplit/>
        </w:trPr>
        <w:tc>
          <w:tcPr>
            <w:tcW w:type="dxa" w:w="294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Corrective-action evidence</w:t>
            </w:r>
          </w:p>
        </w:tc>
        <w:tc>
          <w:tcPr>
            <w:tcW w:type="dxa" w:w="612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Owner, dates, actions, verification and closure.</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References</w:t>
      </w:r>
    </w:p>
    <w:p>
      <w:r>
        <w:rPr>
          <w:rFonts w:ascii="Cambria" w:hAnsi="Cambria" w:eastAsia="Cambria"/>
          <w:b/>
          <w:i w:val="0"/>
          <w:color w:val="000000"/>
          <w:sz w:val="19"/>
        </w:rPr>
        <w:t>ISO 15189:2022 — Medical laboratories — Requirements for quality and competence</w:t>
      </w:r>
    </w:p>
    <w:p>
      <w:pPr>
        <w:spacing w:after="60"/>
      </w:pPr>
      <w:r>
        <w:rPr>
          <w:rFonts w:ascii="Calibri" w:hAnsi="Calibri" w:eastAsia="Calibri"/>
          <w:b w:val="0"/>
          <w:i w:val="0"/>
          <w:color w:val="1F4E79"/>
          <w:sz w:val="18"/>
        </w:rPr>
        <w:t>https://www.iso.org/standard/76677.html</w:t>
      </w:r>
    </w:p>
    <w:p>
      <w:r>
        <w:rPr>
          <w:rFonts w:ascii="Cambria" w:hAnsi="Cambria" w:eastAsia="Cambria"/>
          <w:b/>
          <w:i w:val="0"/>
          <w:color w:val="000000"/>
          <w:sz w:val="19"/>
        </w:rPr>
        <w:t>ISO 19011:2026 — Guidelines for auditing management systems</w:t>
      </w:r>
    </w:p>
    <w:p>
      <w:pPr>
        <w:spacing w:after="60"/>
      </w:pPr>
      <w:r>
        <w:rPr>
          <w:rFonts w:ascii="Calibri" w:hAnsi="Calibri" w:eastAsia="Calibri"/>
          <w:b w:val="0"/>
          <w:i w:val="0"/>
          <w:color w:val="1F4E79"/>
          <w:sz w:val="18"/>
        </w:rPr>
        <w:t>https://committee.iso.org/standard/19011</w:t>
      </w:r>
    </w:p>
    <w:p>
      <w:r>
        <w:rPr>
          <w:rFonts w:ascii="Cambria" w:hAnsi="Cambria" w:eastAsia="Cambria"/>
          <w:b/>
          <w:i w:val="0"/>
          <w:color w:val="000000"/>
          <w:sz w:val="19"/>
        </w:rPr>
        <w:t>ISO 22367:2026 — Medical laboratories — Application of risk management to medical laboratories</w:t>
      </w:r>
    </w:p>
    <w:p>
      <w:pPr>
        <w:spacing w:after="60"/>
      </w:pPr>
      <w:r>
        <w:rPr>
          <w:rFonts w:ascii="Calibri" w:hAnsi="Calibri" w:eastAsia="Calibri"/>
          <w:b w:val="0"/>
          <w:i w:val="0"/>
          <w:color w:val="1F4E79"/>
          <w:sz w:val="18"/>
        </w:rPr>
        <w:t>https://committee.iso.org/standard/87738.html</w:t>
      </w:r>
    </w:p>
    <w:p>
      <w:r>
        <w:rPr>
          <w:rFonts w:ascii="Cambria" w:hAnsi="Cambria" w:eastAsia="Cambria"/>
          <w:b w:val="0"/>
          <w:i/>
          <w:color w:val="666666"/>
          <w:sz w:val="19"/>
        </w:rPr>
        <w:t>Applicable national, regional, accreditation-body and regulatory requirements should also be incorporated where relevant to the laboratory.</w:t>
      </w:r>
    </w:p>
    <w:p>
      <w:pPr>
        <w:keepNext/>
        <w:spacing w:before="180" w:after="80"/>
        <w:pBdr>
          <w:bottom w:val="single" w:sz="8" w:space="2" w:color="D9EAF7"/>
        </w:pBdr>
      </w:pPr>
      <w:r>
        <w:rPr>
          <w:rFonts w:ascii="Cambria" w:hAnsi="Cambria" w:eastAsia="Cambria"/>
          <w:b/>
          <w:i w:val="0"/>
          <w:color w:val="000000"/>
          <w:sz w:val="25"/>
        </w:rPr>
        <w:t>Revision and Approval</w:t>
      </w:r>
    </w:p>
    <w:tbl>
      <w:tblPr>
        <w:tblStyle w:val="TableGrid"/>
        <w:tblW w:type="auto" w:w="0"/>
        <w:jc w:val="center"/>
        <w:tblLook w:val="04A0"/>
      </w:tblPr>
      <w:tblGrid>
        <w:gridCol w:w="3118"/>
        <w:gridCol w:w="3118"/>
        <w:gridCol w:w="3118"/>
      </w:tblGrid>
      <w:tr>
        <w:trPr>
          <w:tblHeader w:val="true"/>
        </w:trPr>
        <w:tc>
          <w:tcPr>
            <w:tcW w:type="dxa" w:w="141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Version</w:t>
            </w:r>
          </w:p>
        </w:tc>
        <w:tc>
          <w:tcPr>
            <w:tcW w:type="dxa" w:w="1984"/>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Effective Date</w:t>
            </w:r>
          </w:p>
        </w:tc>
        <w:tc>
          <w:tcPr>
            <w:tcW w:type="dxa" w:w="5669"/>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Description</w:t>
            </w:r>
          </w:p>
        </w:tc>
      </w:tr>
      <w:tr>
        <w:trPr>
          <w:cantSplit/>
        </w:trPr>
        <w:tc>
          <w:tcPr>
            <w:tcW w:type="dxa" w:w="141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1.0</w:t>
            </w:r>
          </w:p>
        </w:tc>
        <w:tc>
          <w:tcPr>
            <w:tcW w:type="dxa" w:w="198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2026-09-19</w:t>
            </w:r>
          </w:p>
        </w:tc>
        <w:tc>
          <w:tcPr>
            <w:tcW w:type="dxa" w:w="5669"/>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Initial issue</w:t>
            </w:r>
          </w:p>
        </w:tc>
      </w:tr>
    </w:tbl>
    <w:p>
      <w:pPr>
        <w:spacing w:before="0" w:after="0" w:line="252" w:lineRule="auto"/>
      </w:pPr>
    </w:p>
    <w:tbl>
      <w:tblPr>
        <w:tblStyle w:val="TableGrid"/>
        <w:tblW w:type="auto" w:w="0"/>
        <w:jc w:val="center"/>
        <w:tblLook w:val="04A0"/>
      </w:tblPr>
      <w:tblGrid>
        <w:gridCol w:w="2339"/>
        <w:gridCol w:w="2339"/>
        <w:gridCol w:w="2339"/>
        <w:gridCol w:w="2339"/>
      </w:tblGrid>
      <w:tr>
        <w:trPr>
          <w:tblHeader w:val="true"/>
        </w:trPr>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Prepared by</w:t>
            </w:r>
          </w:p>
        </w:tc>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Reviewed by</w:t>
            </w:r>
          </w:p>
        </w:tc>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Approved by</w:t>
            </w:r>
          </w:p>
        </w:tc>
        <w:tc>
          <w:tcPr>
            <w:tcW w:type="dxa" w:w="170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Date</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170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[DATE]</w:t>
            </w:r>
          </w:p>
        </w:tc>
      </w:tr>
    </w:tbl>
    <w:p>
      <w:pPr>
        <w:spacing w:before="0" w:after="0" w:line="252" w:lineRule="auto"/>
      </w:pPr>
    </w:p>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jc w:val="center"/>
    </w:pPr>
    <w:r>
      <w:rPr>
        <w:rFonts w:ascii="Calibri" w:hAnsi="Calibri" w:eastAsia="Calibri"/>
        <w:b w:val="0"/>
        <w:i w:val="0"/>
        <w:color w:val="666666"/>
        <w:sz w:val="16"/>
      </w:rPr>
      <w:t xml:space="preserve">www.iso-toolkits.org | info@iso-toolkits.org | Page </w:t>
    </w:r>
    <w:r>
      <w:fldChar w:fldCharType="begin"/>
      <w:instrText xml:space="preserve"> PAGE </w:instrText>
      <w:fldChar w:fldCharType="separate"/>
      <w:t>1</w:t>
      <w:fldChar w:fldCharType="end"/>
    </w:r>
    <w:r>
      <w:rPr>
        <w:rFonts w:ascii="Calibri" w:hAnsi="Calibri" w:eastAsia="Calibri"/>
        <w:b w:val="0"/>
        <w:i w:val="0"/>
        <w:color w:val="666666"/>
        <w:sz w:val="16"/>
      </w:rPr>
      <w:t xml:space="preserve"> of </w:t>
    </w:r>
    <w:r>
      <w:fldChar w:fldCharType="begin"/>
      <w:instrText xml:space="preserve"> NUMPAGES </w:instrText>
      <w:fldChar w:fldCharType="separate"/>
      <w:t>1</w:t>
      <w:fldChar w:fldCharType="end"/>
    </w:r>
  </w:p>
</w:ftr>
</file>

<file path=word/header1.xml><?xml version="1.0" encoding="utf-8"?>
<w:hdr xmlns:w="http://schemas.openxmlformats.org/wordprocessingml/2006/main">
  <w:p>
    <w:pPr>
      <w:pStyle w:val="Header"/>
    </w:pPr>
  </w:p>
  <w:tbl>
    <w:tblPr>
      <w:tblW w:type="auto" w:w="0"/>
      <w:jc w:val="center"/>
      <w:tblLook w:val="04A0"/>
    </w:tblPr>
    <w:tblGrid>
      <w:gridCol w:w="3118"/>
      <w:gridCol w:w="3118"/>
      <w:gridCol w:w="3118"/>
    </w:tblGrid>
    <w:tr>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val="0"/>
              <w:i w:val="0"/>
              <w:color w:val="000000"/>
              <w:sz w:val="15"/>
            </w:rPr>
            <w:t>ORGANIZATION LOGO</w:t>
          </w:r>
        </w:p>
      </w:tc>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i w:val="0"/>
              <w:color w:val="1F4E79"/>
              <w:sz w:val="15"/>
            </w:rPr>
            <w:t>[ORGANIZATION NAME]</w:t>
            <w:br/>
            <w:t>Laboratory Audit Guidance</w:t>
          </w:r>
        </w:p>
      </w:tc>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val="0"/>
              <w:i w:val="0"/>
              <w:color w:val="000000"/>
              <w:sz w:val="15"/>
            </w:rPr>
            <w:t>LQMS-GUI-001</w:t>
            <w:br/>
            <w:t>Version 1.0</w:t>
            <w:br/>
            <w:t>2026-09-19</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eastAsia="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Cambria" w:hAnsi="Cambria" w:eastAsia="Cambria"/>
      <w:sz w:val="20"/>
    </w:rPr>
  </w:style>
  <w:style w:type="paragraph" w:styleId="ListBullet2">
    <w:name w:val="List Bullet 2"/>
    <w:basedOn w:val="Normal"/>
    <w:uiPriority w:val="99"/>
    <w:unhideWhenUsed/>
    <w:rsid w:val="00326F90"/>
    <w:pPr>
      <w:numPr>
        <w:numId w:val="2"/>
      </w:numPr>
      <w:spacing w:after="40"/>
      <w:contextualSpacing/>
    </w:pPr>
    <w:rPr>
      <w:rFonts w:ascii="Cambria" w:hAnsi="Cambria" w:eastAsia="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Cambria" w:hAnsi="Cambria" w:eastAsia="Cambria"/>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Laboratory Audit Guidance</dc:title>
  <dc:subject>ISO 15189:2022 laboratory quality management system document</dc:subject>
  <dc:creator>ISO Toolkits</dc:creator>
  <cp:keywords>ISO 15189, laboratory quality, LQMS, Guidance</cp:keywords>
  <dc:description>Practical ISO 15189 toolkit document. www.iso-toolkits.org</dc:description>
  <cp:lastModifiedBy/>
  <cp:revision>1</cp:revision>
  <dcterms:created xsi:type="dcterms:W3CDTF">2013-12-23T23:15:00Z</dcterms:created>
  <dcterms:modified xsi:type="dcterms:W3CDTF">2013-12-23T23:15:00Z</dcterms:modified>
  <cp:category/>
</cp:coreProperties>
</file>