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pg="http://schemas.microsoft.com/office/word/2010/wordprocessingGroup" xmlns:wpi="http://schemas.microsoft.com/office/word/2010/wordprocessingInk" xmlns:wne="http://schemas.microsoft.com/office/word/2006/wordml" xmlns:wps="http://schemas.microsoft.com/office/word/2010/wordprocessingShape">
  <w:body>
    <w:p>
      <w:pPr>
        <w:spacing w:before="800"/>
        <w:jc w:val="center"/>
      </w:pPr>
      <w:r>
        <w:rPr>
          <w:rFonts w:ascii="Cambria" w:hAnsi="Cambria"/>
          <w:b/>
          <w:i w:val="0"/>
          <w:color w:val="1F4E79"/>
          <w:sz w:val="44"/>
        </w:rPr>
        <w:t>LQMS Document Map</w:t>
      </w:r>
    </w:p>
    <w:p>
      <w:pPr>
        <w:jc w:val="center"/>
      </w:pPr>
      <w:r>
        <w:rPr>
          <w:rFonts w:ascii="Cambria" w:hAnsi="Cambria"/>
          <w:b w:val="0"/>
          <w:i w:val="0"/>
          <w:color w:val="555555"/>
          <w:sz w:val="24"/>
        </w:rPr>
        <w:t>Controlled architecture of the Laboratory Quality Management System</w:t>
      </w:r>
    </w:p>
    <w:p>
      <w:pPr>
        <w:spacing w:before="200"/>
        <w:jc w:val="center"/>
      </w:pPr>
      <w:r>
        <w:rPr>
          <w:rFonts w:ascii="Cambria" w:hAnsi="Cambria"/>
          <w:b/>
          <w:i w:val="0"/>
          <w:color w:val="1F4E79"/>
          <w:sz w:val="21"/>
        </w:rPr>
        <w:t>ISO 15189:2022 — Medical laboratories — Requirements for quality and competence</w:t>
      </w:r>
    </w:p>
    <w:tbl>
      <w:tblPr>
        <w:tblStyle w:val="TableGrid"/>
        <w:tblW w:type="auto" w:w="0"/>
        <w:jc w:val="center"/>
        <w:tblLook w:val="04A0"/>
      </w:tblPr>
      <w:tblGrid>
        <w:gridCol w:w="3572"/>
        <w:gridCol w:w="3572"/>
        <w:gridCol w:w="3572"/>
        <w:gridCol w:w="3572"/>
      </w:tblGrid>
      <w:tr>
        <w:trPr>
          <w:tblHeader w:val="true"/>
          <w:cantSplit/>
        </w:trPr>
        <w:tc>
          <w:tcPr>
            <w:tcW w:type="dxa" w:w="3572"/>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D9EAF7" w:val="clear"/>
            <w:tcMar>
              <w:top w:w="70" w:type="dxa"/>
              <w:left w:w="80" w:type="dxa"/>
              <w:bottom w:w="70" w:type="dxa"/>
              <w:right w:w="80" w:type="dxa"/>
            </w:tcMar>
            <w:vAlign w:val="center"/>
          </w:tcPr>
          <w:p>
            <w:pPr>
              <w:spacing w:after="0" w:line="240" w:lineRule="auto"/>
            </w:pPr>
            <w:r>
              <w:rPr>
                <w:rFonts w:ascii="Cambria" w:hAnsi="Cambria"/>
                <w:b/>
                <w:i w:val="0"/>
                <w:color w:val="000000"/>
                <w:sz w:val="18"/>
              </w:rPr>
              <w:t>Document Code</w:t>
            </w:r>
          </w:p>
        </w:tc>
        <w:tc>
          <w:tcPr>
            <w:tcW w:type="dxa" w:w="3572"/>
            <w:vAlign w:val="center"/>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D9EAF7" w:val="clear"/>
          </w:tcPr>
          <w:p>
            <w:pPr>
              <w:spacing w:after="0" w:line="240" w:lineRule="auto"/>
            </w:pPr>
            <w:r>
              <w:rPr>
                <w:rFonts w:ascii="Cambria" w:hAnsi="Cambria"/>
                <w:b/>
                <w:i w:val="0"/>
                <w:color w:val="000000"/>
                <w:sz w:val="18"/>
              </w:rPr>
              <w:t>LQMS-MAT-001</w:t>
            </w:r>
          </w:p>
        </w:tc>
        <w:tc>
          <w:tcPr>
            <w:tcW w:type="dxa" w:w="3572"/>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D9EAF7" w:val="clear"/>
            <w:tcMar>
              <w:top w:w="70" w:type="dxa"/>
              <w:left w:w="80" w:type="dxa"/>
              <w:bottom w:w="70" w:type="dxa"/>
              <w:right w:w="80" w:type="dxa"/>
            </w:tcMar>
            <w:vAlign w:val="center"/>
          </w:tcPr>
          <w:p>
            <w:pPr>
              <w:spacing w:after="0" w:line="240" w:lineRule="auto"/>
            </w:pPr>
            <w:r>
              <w:rPr>
                <w:rFonts w:ascii="Cambria" w:hAnsi="Cambria"/>
                <w:b/>
                <w:i w:val="0"/>
                <w:color w:val="000000"/>
                <w:sz w:val="18"/>
              </w:rPr>
              <w:t>Version</w:t>
            </w:r>
          </w:p>
        </w:tc>
        <w:tc>
          <w:tcPr>
            <w:tcW w:type="dxa" w:w="3572"/>
            <w:vAlign w:val="center"/>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D9EAF7" w:val="clear"/>
          </w:tcPr>
          <w:p>
            <w:pPr>
              <w:spacing w:after="0" w:line="240" w:lineRule="auto"/>
            </w:pPr>
            <w:r>
              <w:rPr>
                <w:rFonts w:ascii="Cambria" w:hAnsi="Cambria"/>
                <w:b/>
                <w:i w:val="0"/>
                <w:color w:val="000000"/>
                <w:sz w:val="18"/>
              </w:rPr>
              <w:t>1.0</w:t>
            </w:r>
          </w:p>
        </w:tc>
      </w:tr>
      <w:tr>
        <w:trPr>
          <w:cantSplit/>
        </w:trPr>
        <w:tc>
          <w:tcPr>
            <w:tcW w:type="dxa" w:w="3572"/>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EAF3F8" w:val="clear"/>
            <w:tcMar>
              <w:top w:w="70" w:type="dxa"/>
              <w:left w:w="80" w:type="dxa"/>
              <w:bottom w:w="70" w:type="dxa"/>
              <w:right w:w="80" w:type="dxa"/>
            </w:tcMar>
            <w:vAlign w:val="top"/>
          </w:tcPr>
          <w:p>
            <w:pPr>
              <w:spacing w:after="0" w:line="240" w:lineRule="auto"/>
            </w:pPr>
            <w:r>
              <w:rPr>
                <w:rFonts w:ascii="Cambria" w:hAnsi="Cambria"/>
                <w:b w:val="0"/>
                <w:i w:val="0"/>
                <w:color w:val="000000"/>
                <w:sz w:val="18"/>
              </w:rPr>
              <w:t>Effective Date</w:t>
            </w:r>
          </w:p>
        </w:tc>
        <w:tc>
          <w:tcPr>
            <w:tcW w:type="dxa" w:w="3572"/>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8"/>
              </w:rPr>
              <w:t>2026-09-19</w:t>
            </w:r>
          </w:p>
        </w:tc>
        <w:tc>
          <w:tcPr>
            <w:tcW w:type="dxa" w:w="3572"/>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EAF3F8" w:val="clear"/>
            <w:tcMar>
              <w:top w:w="70" w:type="dxa"/>
              <w:left w:w="80" w:type="dxa"/>
              <w:bottom w:w="70" w:type="dxa"/>
              <w:right w:w="80" w:type="dxa"/>
            </w:tcMar>
            <w:vAlign w:val="top"/>
          </w:tcPr>
          <w:p>
            <w:pPr>
              <w:spacing w:after="0" w:line="240" w:lineRule="auto"/>
            </w:pPr>
            <w:r>
              <w:rPr>
                <w:rFonts w:ascii="Cambria" w:hAnsi="Cambria"/>
                <w:b w:val="0"/>
                <w:i w:val="0"/>
                <w:color w:val="000000"/>
                <w:sz w:val="18"/>
              </w:rPr>
              <w:t>Classification</w:t>
            </w:r>
          </w:p>
        </w:tc>
        <w:tc>
          <w:tcPr>
            <w:tcW w:type="dxa" w:w="3572"/>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8"/>
              </w:rPr>
              <w:t>INTERNAL</w:t>
            </w:r>
          </w:p>
        </w:tc>
      </w:tr>
      <w:tr>
        <w:trPr>
          <w:cantSplit/>
        </w:trPr>
        <w:tc>
          <w:tcPr>
            <w:tcW w:type="dxa" w:w="3572"/>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Mar>
              <w:top w:w="70" w:type="dxa"/>
              <w:left w:w="80" w:type="dxa"/>
              <w:bottom w:w="70" w:type="dxa"/>
              <w:right w:w="80" w:type="dxa"/>
            </w:tcMar>
            <w:vAlign w:val="top"/>
          </w:tcPr>
          <w:p>
            <w:pPr>
              <w:spacing w:after="0" w:line="240" w:lineRule="auto"/>
            </w:pPr>
            <w:r>
              <w:rPr>
                <w:rFonts w:ascii="Cambria" w:hAnsi="Cambria"/>
                <w:b w:val="0"/>
                <w:i w:val="0"/>
                <w:color w:val="000000"/>
                <w:sz w:val="18"/>
              </w:rPr>
              <w:t>Document Owner</w:t>
            </w:r>
          </w:p>
        </w:tc>
        <w:tc>
          <w:tcPr>
            <w:tcW w:type="dxa" w:w="3572"/>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8"/>
              </w:rPr>
              <w:t>[DOCUMENT OWNER]</w:t>
            </w:r>
          </w:p>
        </w:tc>
        <w:tc>
          <w:tcPr>
            <w:tcW w:type="dxa" w:w="3572"/>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Mar>
              <w:top w:w="70" w:type="dxa"/>
              <w:left w:w="80" w:type="dxa"/>
              <w:bottom w:w="70" w:type="dxa"/>
              <w:right w:w="80" w:type="dxa"/>
            </w:tcMar>
            <w:vAlign w:val="top"/>
          </w:tcPr>
          <w:p>
            <w:pPr>
              <w:spacing w:after="0" w:line="240" w:lineRule="auto"/>
            </w:pPr>
            <w:r>
              <w:rPr>
                <w:rFonts w:ascii="Cambria" w:hAnsi="Cambria"/>
                <w:b w:val="0"/>
                <w:i w:val="0"/>
                <w:color w:val="000000"/>
                <w:sz w:val="18"/>
              </w:rPr>
              <w:t>Approver</w:t>
            </w:r>
          </w:p>
        </w:tc>
        <w:tc>
          <w:tcPr>
            <w:tcW w:type="dxa" w:w="3572"/>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8"/>
              </w:rPr>
              <w:t>[APPROVER]</w:t>
            </w:r>
          </w:p>
        </w:tc>
      </w:tr>
      <w:tr>
        <w:trPr>
          <w:cantSplit/>
        </w:trPr>
        <w:tc>
          <w:tcPr>
            <w:tcW w:type="dxa" w:w="3572"/>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EAF3F8" w:val="clear"/>
            <w:tcMar>
              <w:top w:w="70" w:type="dxa"/>
              <w:left w:w="80" w:type="dxa"/>
              <w:bottom w:w="70" w:type="dxa"/>
              <w:right w:w="80" w:type="dxa"/>
            </w:tcMar>
            <w:vAlign w:val="top"/>
          </w:tcPr>
          <w:p>
            <w:pPr>
              <w:spacing w:after="0" w:line="240" w:lineRule="auto"/>
            </w:pPr>
            <w:r>
              <w:rPr>
                <w:rFonts w:ascii="Cambria" w:hAnsi="Cambria"/>
                <w:b w:val="0"/>
                <w:i w:val="0"/>
                <w:color w:val="000000"/>
                <w:sz w:val="18"/>
              </w:rPr>
              <w:t>Organization</w:t>
            </w:r>
          </w:p>
        </w:tc>
        <w:tc>
          <w:tcPr>
            <w:tcW w:type="dxa" w:w="3572"/>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8"/>
              </w:rPr>
              <w:t>[ORGANIZATION NAME]</w:t>
            </w:r>
          </w:p>
        </w:tc>
        <w:tc>
          <w:tcPr>
            <w:tcW w:type="dxa" w:w="3572"/>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EAF3F8" w:val="clear"/>
            <w:tcMar>
              <w:top w:w="70" w:type="dxa"/>
              <w:left w:w="80" w:type="dxa"/>
              <w:bottom w:w="70" w:type="dxa"/>
              <w:right w:w="80" w:type="dxa"/>
            </w:tcMar>
            <w:vAlign w:val="top"/>
          </w:tcPr>
          <w:p>
            <w:pPr>
              <w:spacing w:after="0" w:line="240" w:lineRule="auto"/>
            </w:pPr>
            <w:r>
              <w:rPr>
                <w:rFonts w:ascii="Cambria" w:hAnsi="Cambria"/>
                <w:b w:val="0"/>
                <w:i w:val="0"/>
                <w:color w:val="000000"/>
                <w:sz w:val="18"/>
              </w:rPr>
              <w:t>Review Cycle</w:t>
            </w:r>
          </w:p>
        </w:tc>
        <w:tc>
          <w:tcPr>
            <w:tcW w:type="dxa" w:w="3572"/>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8"/>
              </w:rPr>
              <w:t>[ANNUAL / UPON CHANGE]</w:t>
            </w:r>
          </w:p>
        </w:tc>
      </w:tr>
      <w:tr>
        <w:trPr>
          <w:cantSplit/>
        </w:trPr>
        <w:tc>
          <w:tcPr>
            <w:tcW w:type="dxa" w:w="3572"/>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Mar>
              <w:top w:w="70" w:type="dxa"/>
              <w:left w:w="80" w:type="dxa"/>
              <w:bottom w:w="70" w:type="dxa"/>
              <w:right w:w="80" w:type="dxa"/>
            </w:tcMar>
            <w:vAlign w:val="top"/>
          </w:tcPr>
          <w:p>
            <w:pPr>
              <w:spacing w:after="0" w:line="240" w:lineRule="auto"/>
            </w:pPr>
            <w:r>
              <w:rPr>
                <w:rFonts w:ascii="Cambria" w:hAnsi="Cambria"/>
                <w:b w:val="0"/>
                <w:i w:val="0"/>
                <w:color w:val="000000"/>
                <w:sz w:val="18"/>
              </w:rPr>
              <w:t>Website</w:t>
            </w:r>
          </w:p>
        </w:tc>
        <w:tc>
          <w:tcPr>
            <w:tcW w:type="dxa" w:w="3572"/>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8"/>
              </w:rPr>
              <w:t>www.iso-toolkits.org</w:t>
            </w:r>
          </w:p>
        </w:tc>
        <w:tc>
          <w:tcPr>
            <w:tcW w:type="dxa" w:w="3572"/>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Mar>
              <w:top w:w="70" w:type="dxa"/>
              <w:left w:w="80" w:type="dxa"/>
              <w:bottom w:w="70" w:type="dxa"/>
              <w:right w:w="80" w:type="dxa"/>
            </w:tcMar>
            <w:vAlign w:val="top"/>
          </w:tcPr>
          <w:p>
            <w:pPr>
              <w:spacing w:after="0" w:line="240" w:lineRule="auto"/>
            </w:pPr>
            <w:r>
              <w:rPr>
                <w:rFonts w:ascii="Cambria" w:hAnsi="Cambria"/>
                <w:b w:val="0"/>
                <w:i w:val="0"/>
                <w:color w:val="000000"/>
                <w:sz w:val="18"/>
              </w:rPr>
              <w:t>Email</w:t>
            </w:r>
          </w:p>
        </w:tc>
        <w:tc>
          <w:tcPr>
            <w:tcW w:type="dxa" w:w="3572"/>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8"/>
              </w:rPr>
              <w:t>info@iso-toolkits.org</w:t>
            </w:r>
          </w:p>
        </w:tc>
      </w:tr>
    </w:tbl>
    <w:p/>
    <w:tbl>
      <w:tblPr>
        <w:tblW w:type="auto" w:w="0"/>
        <w:jc w:val="center"/>
        <w:tblLook w:val="04A0"/>
      </w:tblPr>
      <w:tblGrid>
        <w:gridCol w:w="14287"/>
      </w:tblGrid>
      <w:tr>
        <w:trPr>
          <w:cantSplit/>
        </w:trPr>
        <w:tc>
          <w:tcPr>
            <w:tcW w:type="dxa" w:w="14287"/>
            <w:tcBorders>
              <w:top w:val="single" w:sz="4" w:space="0" w:color="D6B656"/>
              <w:left w:val="single" w:sz="4" w:space="0" w:color="D6B656"/>
              <w:bottom w:val="single" w:sz="4" w:space="0" w:color="D6B656"/>
              <w:right w:val="single" w:sz="4" w:space="0" w:color="D6B656"/>
              <w:insideH w:val="single" w:sz="4" w:space="0" w:color="D6B656"/>
              <w:insideV w:val="single" w:sz="4" w:space="0" w:color="D6B656"/>
            </w:tcBorders>
            <w:shd w:fill="FFF2CC" w:val="clear"/>
            <w:tcMar>
              <w:top w:w="80" w:type="dxa"/>
              <w:left w:w="110" w:type="dxa"/>
              <w:bottom w:w="80" w:type="dxa"/>
              <w:right w:w="110" w:type="dxa"/>
            </w:tcMar>
          </w:tcPr>
          <w:p>
            <w:pPr>
              <w:spacing w:after="0"/>
            </w:pPr>
            <w:r>
              <w:rPr>
                <w:rFonts w:ascii="Cambria" w:hAnsi="Cambria"/>
                <w:b w:val="0"/>
                <w:i/>
                <w:color w:val="C00000"/>
                <w:sz w:val="18"/>
              </w:rPr>
              <w:t>[Note] Replace organization-specific placeholders and confirm applicable statutory, regulatory, accreditation and payer requirements before controlled release.</w:t>
            </w:r>
          </w:p>
        </w:tc>
      </w:tr>
    </w:tbl>
    <w:p>
      <w:pPr>
        <w:spacing w:after="20"/>
      </w:pPr>
    </w:p>
    <w:p>
      <w:r>
        <w:br w:type="page"/>
      </w:r>
    </w:p>
    <w:p>
      <w:pPr>
        <w:pStyle w:val="Heading1"/>
        <w:spacing w:before="140" w:after="80"/>
        <w:keepNext/>
      </w:pPr>
      <w:r>
        <w:t>1. Purpose and Use</w:t>
      </w:r>
    </w:p>
    <w:p>
      <w:pPr>
        <w:spacing w:after="80" w:line="259" w:lineRule="auto"/>
      </w:pPr>
      <w:r>
        <w:rPr>
          <w:rFonts w:ascii="Cambria" w:hAnsi="Cambria"/>
          <w:b w:val="0"/>
          <w:i w:val="0"/>
          <w:color w:val="000000"/>
          <w:sz w:val="21"/>
        </w:rPr>
        <w:t>This document map provides a practical architecture for the controlled documents and records used to operate, demonstrate and improve a medical laboratory quality management system (LQMS). It is intended to help the laboratory decide what information must be controlled, who owns it, where evidence is retained and how documents interact across pre-examination, examination and post-examination activities.</w:t>
      </w:r>
    </w:p>
    <w:tbl>
      <w:tblPr>
        <w:tblW w:type="auto" w:w="0"/>
        <w:jc w:val="center"/>
        <w:tblLook w:val="04A0"/>
      </w:tblPr>
      <w:tblGrid>
        <w:gridCol w:w="14287"/>
      </w:tblGrid>
      <w:tr>
        <w:trPr>
          <w:cantSplit/>
        </w:trPr>
        <w:tc>
          <w:tcPr>
            <w:tcW w:type="dxa" w:w="14287"/>
            <w:tcBorders>
              <w:top w:val="single" w:sz="4" w:space="0" w:color="D6B656"/>
              <w:left w:val="single" w:sz="4" w:space="0" w:color="D6B656"/>
              <w:bottom w:val="single" w:sz="4" w:space="0" w:color="D6B656"/>
              <w:right w:val="single" w:sz="4" w:space="0" w:color="D6B656"/>
              <w:insideH w:val="single" w:sz="4" w:space="0" w:color="D6B656"/>
              <w:insideV w:val="single" w:sz="4" w:space="0" w:color="D6B656"/>
            </w:tcBorders>
            <w:shd w:fill="FFF2CC" w:val="clear"/>
            <w:tcMar>
              <w:top w:w="80" w:type="dxa"/>
              <w:left w:w="110" w:type="dxa"/>
              <w:bottom w:w="80" w:type="dxa"/>
              <w:right w:w="110" w:type="dxa"/>
            </w:tcMar>
          </w:tcPr>
          <w:p>
            <w:pPr>
              <w:spacing w:after="0"/>
            </w:pPr>
            <w:r>
              <w:rPr>
                <w:rFonts w:ascii="Cambria" w:hAnsi="Cambria"/>
                <w:b w:val="0"/>
                <w:i/>
                <w:color w:val="C00000"/>
                <w:sz w:val="18"/>
              </w:rPr>
              <w:t>[Note] The map is not a mandatory one-document-per-requirement catalogue. Documents may be combined where responsibilities, controls and evidence remain clear and usable.</w:t>
            </w:r>
          </w:p>
        </w:tc>
      </w:tr>
    </w:tbl>
    <w:p>
      <w:pPr>
        <w:spacing w:after="20"/>
      </w:pPr>
    </w:p>
    <w:p>
      <w:pPr>
        <w:pStyle w:val="Heading1"/>
        <w:spacing w:before="140" w:after="80"/>
        <w:keepNext/>
      </w:pPr>
      <w:r>
        <w:t>2. LQMS Document Architecture</w:t>
      </w:r>
    </w:p>
    <w:tbl>
      <w:tblPr>
        <w:tblStyle w:val="TableGrid"/>
        <w:tblW w:type="auto" w:w="0"/>
        <w:jc w:val="center"/>
        <w:tblLook w:val="04A0"/>
      </w:tblPr>
      <w:tblGrid>
        <w:gridCol w:w="4762"/>
        <w:gridCol w:w="4762"/>
        <w:gridCol w:w="4762"/>
      </w:tblGrid>
      <w:tr>
        <w:trPr>
          <w:tblHeader w:val="true"/>
          <w:cantSplit/>
        </w:trPr>
        <w:tc>
          <w:tcPr>
            <w:tcW w:type="dxa" w:w="2154"/>
            <w:vAlign w:val="center"/>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D9EAF7" w:val="clear"/>
          </w:tcPr>
          <w:p>
            <w:pPr>
              <w:spacing w:after="0" w:line="240" w:lineRule="auto"/>
            </w:pPr>
            <w:r>
              <w:rPr>
                <w:rFonts w:ascii="Cambria" w:hAnsi="Cambria"/>
                <w:b/>
                <w:i w:val="0"/>
                <w:color w:val="000000"/>
                <w:sz w:val="16"/>
              </w:rPr>
              <w:t>Layer</w:t>
            </w:r>
          </w:p>
        </w:tc>
        <w:tc>
          <w:tcPr>
            <w:tcW w:type="dxa" w:w="4819"/>
            <w:vAlign w:val="center"/>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D9EAF7" w:val="clear"/>
          </w:tcPr>
          <w:p>
            <w:pPr>
              <w:spacing w:after="0" w:line="240" w:lineRule="auto"/>
            </w:pPr>
            <w:r>
              <w:rPr>
                <w:rFonts w:ascii="Cambria" w:hAnsi="Cambria"/>
                <w:b/>
                <w:i w:val="0"/>
                <w:color w:val="000000"/>
                <w:sz w:val="16"/>
              </w:rPr>
              <w:t>Purpose</w:t>
            </w:r>
          </w:p>
        </w:tc>
        <w:tc>
          <w:tcPr>
            <w:tcW w:type="dxa" w:w="6803"/>
            <w:vAlign w:val="center"/>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D9EAF7" w:val="clear"/>
          </w:tcPr>
          <w:p>
            <w:pPr>
              <w:spacing w:after="0" w:line="240" w:lineRule="auto"/>
            </w:pPr>
            <w:r>
              <w:rPr>
                <w:rFonts w:ascii="Cambria" w:hAnsi="Cambria"/>
                <w:b/>
                <w:i w:val="0"/>
                <w:color w:val="000000"/>
                <w:sz w:val="16"/>
              </w:rPr>
              <w:t>Typical content</w:t>
            </w:r>
          </w:p>
        </w:tc>
      </w:tr>
      <w:tr>
        <w:trPr>
          <w:cantSplit/>
        </w:trPr>
        <w:tc>
          <w:tcPr>
            <w:tcW w:type="dxa" w:w="2154"/>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6"/>
              </w:rPr>
              <w:t>Governance</w:t>
            </w:r>
          </w:p>
        </w:tc>
        <w:tc>
          <w:tcPr>
            <w:tcW w:type="dxa" w:w="4819"/>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6"/>
              </w:rPr>
              <w:t>Defines authority, direction and boundaries.</w:t>
            </w:r>
          </w:p>
        </w:tc>
        <w:tc>
          <w:tcPr>
            <w:tcW w:type="dxa" w:w="6803"/>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6"/>
              </w:rPr>
              <w:t>Quality policy, scope, governance, impartiality/confidentiality commitments, organization and responsibilities.</w:t>
            </w:r>
          </w:p>
        </w:tc>
      </w:tr>
      <w:tr>
        <w:trPr>
          <w:cantSplit/>
        </w:trPr>
        <w:tc>
          <w:tcPr>
            <w:tcW w:type="dxa" w:w="2154"/>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6"/>
              </w:rPr>
              <w:t>Management system controls</w:t>
            </w:r>
          </w:p>
        </w:tc>
        <w:tc>
          <w:tcPr>
            <w:tcW w:type="dxa" w:w="4819"/>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6"/>
              </w:rPr>
              <w:t>Controls how the LQMS is maintained and improved.</w:t>
            </w:r>
          </w:p>
        </w:tc>
        <w:tc>
          <w:tcPr>
            <w:tcW w:type="dxa" w:w="6803"/>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6"/>
              </w:rPr>
              <w:t>Documented information, risk management, nonconformity, corrective action, complaints, internal audit, management review.</w:t>
            </w:r>
          </w:p>
        </w:tc>
      </w:tr>
      <w:tr>
        <w:trPr>
          <w:cantSplit/>
        </w:trPr>
        <w:tc>
          <w:tcPr>
            <w:tcW w:type="dxa" w:w="2154"/>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6"/>
              </w:rPr>
              <w:t>Technical process controls</w:t>
            </w:r>
          </w:p>
        </w:tc>
        <w:tc>
          <w:tcPr>
            <w:tcW w:type="dxa" w:w="4819"/>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6"/>
              </w:rPr>
              <w:t>Controls laboratory work from request to result.</w:t>
            </w:r>
          </w:p>
        </w:tc>
        <w:tc>
          <w:tcPr>
            <w:tcW w:type="dxa" w:w="6803"/>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6"/>
              </w:rPr>
              <w:t>Pre-examination, examination, post-examination, method verification/validation, QC, EQA, critical results, result authorization.</w:t>
            </w:r>
          </w:p>
        </w:tc>
      </w:tr>
      <w:tr>
        <w:trPr>
          <w:cantSplit/>
        </w:trPr>
        <w:tc>
          <w:tcPr>
            <w:tcW w:type="dxa" w:w="2154"/>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6"/>
              </w:rPr>
              <w:t>Resource controls</w:t>
            </w:r>
          </w:p>
        </w:tc>
        <w:tc>
          <w:tcPr>
            <w:tcW w:type="dxa" w:w="4819"/>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6"/>
              </w:rPr>
              <w:t>Ensures competent people and suitable resources.</w:t>
            </w:r>
          </w:p>
        </w:tc>
        <w:tc>
          <w:tcPr>
            <w:tcW w:type="dxa" w:w="6803"/>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6"/>
              </w:rPr>
              <w:t>Personnel, facilities, equipment, reagents/consumables, metrological traceability, information systems, external providers.</w:t>
            </w:r>
          </w:p>
        </w:tc>
      </w:tr>
      <w:tr>
        <w:trPr>
          <w:cantSplit/>
        </w:trPr>
        <w:tc>
          <w:tcPr>
            <w:tcW w:type="dxa" w:w="2154"/>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6"/>
              </w:rPr>
              <w:t>Records and evidence</w:t>
            </w:r>
          </w:p>
        </w:tc>
        <w:tc>
          <w:tcPr>
            <w:tcW w:type="dxa" w:w="4819"/>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6"/>
              </w:rPr>
              <w:t>Demonstrates that controls were performed and outcomes evaluated.</w:t>
            </w:r>
          </w:p>
        </w:tc>
        <w:tc>
          <w:tcPr>
            <w:tcW w:type="dxa" w:w="6803"/>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6"/>
              </w:rPr>
              <w:t>Competence records, QC/EQA results, maintenance logs, audit evidence, complaints, CAPA, review minutes, quality indicators.</w:t>
            </w:r>
          </w:p>
        </w:tc>
      </w:tr>
    </w:tbl>
    <w:p>
      <w:pPr>
        <w:spacing w:after="40"/>
      </w:pPr>
    </w:p>
    <w:p>
      <w:pPr>
        <w:pStyle w:val="Heading1"/>
        <w:spacing w:before="140" w:after="80"/>
        <w:keepNext/>
      </w:pPr>
      <w:r>
        <w:t>3. Master Document Map</w:t>
      </w:r>
    </w:p>
    <w:tbl>
      <w:tblPr>
        <w:tblStyle w:val="TableGrid"/>
        <w:tblW w:type="auto" w:w="0"/>
        <w:jc w:val="center"/>
        <w:tblLook w:val="04A0"/>
      </w:tblPr>
      <w:tblGrid>
        <w:gridCol w:w="2041"/>
        <w:gridCol w:w="2041"/>
        <w:gridCol w:w="2041"/>
        <w:gridCol w:w="2041"/>
        <w:gridCol w:w="2041"/>
        <w:gridCol w:w="2041"/>
        <w:gridCol w:w="2041"/>
      </w:tblGrid>
      <w:tr>
        <w:trPr>
          <w:tblHeader w:val="true"/>
          <w:cantSplit/>
        </w:trPr>
        <w:tc>
          <w:tcPr>
            <w:tcW w:type="dxa" w:w="907"/>
            <w:vAlign w:val="center"/>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D9EAF7" w:val="clear"/>
          </w:tcPr>
          <w:p>
            <w:pPr>
              <w:spacing w:after="0" w:line="240" w:lineRule="auto"/>
            </w:pPr>
            <w:r>
              <w:rPr>
                <w:rFonts w:ascii="Cambria" w:hAnsi="Cambria"/>
                <w:b/>
                <w:i w:val="0"/>
                <w:color w:val="000000"/>
                <w:sz w:val="14"/>
              </w:rPr>
              <w:t>ID</w:t>
            </w:r>
          </w:p>
        </w:tc>
        <w:tc>
          <w:tcPr>
            <w:tcW w:type="dxa" w:w="1644"/>
            <w:vAlign w:val="center"/>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D9EAF7" w:val="clear"/>
          </w:tcPr>
          <w:p>
            <w:pPr>
              <w:spacing w:after="0" w:line="240" w:lineRule="auto"/>
            </w:pPr>
            <w:r>
              <w:rPr>
                <w:rFonts w:ascii="Cambria" w:hAnsi="Cambria"/>
                <w:b/>
                <w:i w:val="0"/>
                <w:color w:val="000000"/>
                <w:sz w:val="14"/>
              </w:rPr>
              <w:t>Process Area</w:t>
            </w:r>
          </w:p>
        </w:tc>
        <w:tc>
          <w:tcPr>
            <w:tcW w:type="dxa" w:w="2835"/>
            <w:vAlign w:val="center"/>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D9EAF7" w:val="clear"/>
          </w:tcPr>
          <w:p>
            <w:pPr>
              <w:spacing w:after="0" w:line="240" w:lineRule="auto"/>
            </w:pPr>
            <w:r>
              <w:rPr>
                <w:rFonts w:ascii="Cambria" w:hAnsi="Cambria"/>
                <w:b/>
                <w:i w:val="0"/>
                <w:color w:val="000000"/>
                <w:sz w:val="14"/>
              </w:rPr>
              <w:t>Document / Record</w:t>
            </w:r>
          </w:p>
        </w:tc>
        <w:tc>
          <w:tcPr>
            <w:tcW w:type="dxa" w:w="1587"/>
            <w:vAlign w:val="center"/>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D9EAF7" w:val="clear"/>
          </w:tcPr>
          <w:p>
            <w:pPr>
              <w:spacing w:after="0" w:line="240" w:lineRule="auto"/>
            </w:pPr>
            <w:r>
              <w:rPr>
                <w:rFonts w:ascii="Cambria" w:hAnsi="Cambria"/>
                <w:b/>
                <w:i w:val="0"/>
                <w:color w:val="000000"/>
                <w:sz w:val="14"/>
              </w:rPr>
              <w:t>Type</w:t>
            </w:r>
          </w:p>
        </w:tc>
        <w:tc>
          <w:tcPr>
            <w:tcW w:type="dxa" w:w="4309"/>
            <w:vAlign w:val="center"/>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D9EAF7" w:val="clear"/>
          </w:tcPr>
          <w:p>
            <w:pPr>
              <w:spacing w:after="0" w:line="240" w:lineRule="auto"/>
            </w:pPr>
            <w:r>
              <w:rPr>
                <w:rFonts w:ascii="Cambria" w:hAnsi="Cambria"/>
                <w:b/>
                <w:i w:val="0"/>
                <w:color w:val="000000"/>
                <w:sz w:val="14"/>
              </w:rPr>
              <w:t>Purpose / Control Objective</w:t>
            </w:r>
          </w:p>
        </w:tc>
        <w:tc>
          <w:tcPr>
            <w:tcW w:type="dxa" w:w="2211"/>
            <w:vAlign w:val="center"/>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D9EAF7" w:val="clear"/>
          </w:tcPr>
          <w:p>
            <w:pPr>
              <w:spacing w:after="0" w:line="240" w:lineRule="auto"/>
            </w:pPr>
            <w:r>
              <w:rPr>
                <w:rFonts w:ascii="Cambria" w:hAnsi="Cambria"/>
                <w:b/>
                <w:i w:val="0"/>
                <w:color w:val="000000"/>
                <w:sz w:val="14"/>
              </w:rPr>
              <w:t>Typical Owner</w:t>
            </w:r>
          </w:p>
        </w:tc>
        <w:tc>
          <w:tcPr>
            <w:tcW w:type="dxa" w:w="3402"/>
            <w:vAlign w:val="center"/>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D9EAF7" w:val="clear"/>
          </w:tcPr>
          <w:p>
            <w:pPr>
              <w:spacing w:after="0" w:line="240" w:lineRule="auto"/>
            </w:pPr>
            <w:r>
              <w:rPr>
                <w:rFonts w:ascii="Cambria" w:hAnsi="Cambria"/>
                <w:b/>
                <w:i w:val="0"/>
                <w:color w:val="000000"/>
                <w:sz w:val="14"/>
              </w:rPr>
              <w:t>Implementation Evidence</w:t>
            </w:r>
          </w:p>
        </w:tc>
      </w:tr>
      <w:tr>
        <w:trPr>
          <w:cantSplit/>
        </w:trPr>
        <w:tc>
          <w:tcPr>
            <w:tcW w:type="dxa" w:w="907"/>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4"/>
              </w:rPr>
              <w:t>DM-001</w:t>
            </w:r>
          </w:p>
        </w:tc>
        <w:tc>
          <w:tcPr>
            <w:tcW w:type="dxa" w:w="1644"/>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4"/>
              </w:rPr>
              <w:t>Governance</w:t>
            </w:r>
          </w:p>
        </w:tc>
        <w:tc>
          <w:tcPr>
            <w:tcW w:type="dxa" w:w="2835"/>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4"/>
              </w:rPr>
              <w:t>Laboratory Quality Management Manual</w:t>
            </w:r>
          </w:p>
        </w:tc>
        <w:tc>
          <w:tcPr>
            <w:tcW w:type="dxa" w:w="1587"/>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4"/>
              </w:rPr>
              <w:t>Manual</w:t>
            </w:r>
          </w:p>
        </w:tc>
        <w:tc>
          <w:tcPr>
            <w:tcW w:type="dxa" w:w="4309"/>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4"/>
              </w:rPr>
              <w:t>Describe the laboratory LQMS, scope, process framework and key controls.</w:t>
            </w:r>
          </w:p>
        </w:tc>
        <w:tc>
          <w:tcPr>
            <w:tcW w:type="dxa" w:w="2211"/>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4"/>
              </w:rPr>
              <w:t>Laboratory Director / Quality Manager</w:t>
            </w:r>
          </w:p>
        </w:tc>
        <w:tc>
          <w:tcPr>
            <w:tcW w:type="dxa" w:w="3402"/>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4"/>
              </w:rPr>
              <w:t>Approved controlled manual</w:t>
            </w:r>
          </w:p>
        </w:tc>
      </w:tr>
      <w:tr>
        <w:trPr>
          <w:cantSplit/>
        </w:trPr>
        <w:tc>
          <w:tcPr>
            <w:tcW w:type="dxa" w:w="907"/>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4"/>
              </w:rPr>
              <w:t>DM-002</w:t>
            </w:r>
          </w:p>
        </w:tc>
        <w:tc>
          <w:tcPr>
            <w:tcW w:type="dxa" w:w="1644"/>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4"/>
              </w:rPr>
              <w:t>Governance</w:t>
            </w:r>
          </w:p>
        </w:tc>
        <w:tc>
          <w:tcPr>
            <w:tcW w:type="dxa" w:w="2835"/>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4"/>
              </w:rPr>
              <w:t>Laboratory Quality Policy</w:t>
            </w:r>
          </w:p>
        </w:tc>
        <w:tc>
          <w:tcPr>
            <w:tcW w:type="dxa" w:w="1587"/>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4"/>
              </w:rPr>
              <w:t>Policy</w:t>
            </w:r>
          </w:p>
        </w:tc>
        <w:tc>
          <w:tcPr>
            <w:tcW w:type="dxa" w:w="4309"/>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4"/>
              </w:rPr>
              <w:t>State commitments to quality, competence, patient care, impartiality, confidentiality and continual improvement.</w:t>
            </w:r>
          </w:p>
        </w:tc>
        <w:tc>
          <w:tcPr>
            <w:tcW w:type="dxa" w:w="2211"/>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4"/>
              </w:rPr>
              <w:t>Laboratory Director</w:t>
            </w:r>
          </w:p>
        </w:tc>
        <w:tc>
          <w:tcPr>
            <w:tcW w:type="dxa" w:w="3402"/>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4"/>
              </w:rPr>
              <w:t>Approved policy and communication evidence</w:t>
            </w:r>
          </w:p>
        </w:tc>
      </w:tr>
      <w:tr>
        <w:trPr>
          <w:cantSplit/>
        </w:trPr>
        <w:tc>
          <w:tcPr>
            <w:tcW w:type="dxa" w:w="907"/>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4"/>
              </w:rPr>
              <w:t>DM-003</w:t>
            </w:r>
          </w:p>
        </w:tc>
        <w:tc>
          <w:tcPr>
            <w:tcW w:type="dxa" w:w="1644"/>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4"/>
              </w:rPr>
              <w:t>Governance</w:t>
            </w:r>
          </w:p>
        </w:tc>
        <w:tc>
          <w:tcPr>
            <w:tcW w:type="dxa" w:w="2835"/>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4"/>
              </w:rPr>
              <w:t>LQMS Scope and Service Profile</w:t>
            </w:r>
          </w:p>
        </w:tc>
        <w:tc>
          <w:tcPr>
            <w:tcW w:type="dxa" w:w="1587"/>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4"/>
              </w:rPr>
              <w:t>Controlled Statement</w:t>
            </w:r>
          </w:p>
        </w:tc>
        <w:tc>
          <w:tcPr>
            <w:tcW w:type="dxa" w:w="4309"/>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4"/>
              </w:rPr>
              <w:t>Define sites, services, examination disciplines, POCT interfaces and relevant boundaries.</w:t>
            </w:r>
          </w:p>
        </w:tc>
        <w:tc>
          <w:tcPr>
            <w:tcW w:type="dxa" w:w="2211"/>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4"/>
              </w:rPr>
              <w:t>Laboratory Director</w:t>
            </w:r>
          </w:p>
        </w:tc>
        <w:tc>
          <w:tcPr>
            <w:tcW w:type="dxa" w:w="3402"/>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4"/>
              </w:rPr>
              <w:t>Approved scope/service profile</w:t>
            </w:r>
          </w:p>
        </w:tc>
      </w:tr>
      <w:tr>
        <w:trPr>
          <w:cantSplit/>
        </w:trPr>
        <w:tc>
          <w:tcPr>
            <w:tcW w:type="dxa" w:w="907"/>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4"/>
              </w:rPr>
              <w:t>DM-004</w:t>
            </w:r>
          </w:p>
        </w:tc>
        <w:tc>
          <w:tcPr>
            <w:tcW w:type="dxa" w:w="1644"/>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4"/>
              </w:rPr>
              <w:t>Governance</w:t>
            </w:r>
          </w:p>
        </w:tc>
        <w:tc>
          <w:tcPr>
            <w:tcW w:type="dxa" w:w="2835"/>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4"/>
              </w:rPr>
              <w:t>Organization, Roles &amp; Responsibility Matrix</w:t>
            </w:r>
          </w:p>
        </w:tc>
        <w:tc>
          <w:tcPr>
            <w:tcW w:type="dxa" w:w="1587"/>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4"/>
              </w:rPr>
              <w:t>Matrix</w:t>
            </w:r>
          </w:p>
        </w:tc>
        <w:tc>
          <w:tcPr>
            <w:tcW w:type="dxa" w:w="4309"/>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4"/>
              </w:rPr>
              <w:t>Clarify authority, deputies, responsibilities and escalation paths.</w:t>
            </w:r>
          </w:p>
        </w:tc>
        <w:tc>
          <w:tcPr>
            <w:tcW w:type="dxa" w:w="2211"/>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4"/>
              </w:rPr>
              <w:t>Laboratory Director / HR</w:t>
            </w:r>
          </w:p>
        </w:tc>
        <w:tc>
          <w:tcPr>
            <w:tcW w:type="dxa" w:w="3402"/>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4"/>
              </w:rPr>
              <w:t>Approved organization chart and responsibility matrix</w:t>
            </w:r>
          </w:p>
        </w:tc>
      </w:tr>
      <w:tr>
        <w:trPr>
          <w:cantSplit/>
        </w:trPr>
        <w:tc>
          <w:tcPr>
            <w:tcW w:type="dxa" w:w="907"/>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4"/>
              </w:rPr>
              <w:t>DM-005</w:t>
            </w:r>
          </w:p>
        </w:tc>
        <w:tc>
          <w:tcPr>
            <w:tcW w:type="dxa" w:w="1644"/>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4"/>
              </w:rPr>
              <w:t>Governance</w:t>
            </w:r>
          </w:p>
        </w:tc>
        <w:tc>
          <w:tcPr>
            <w:tcW w:type="dxa" w:w="2835"/>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4"/>
              </w:rPr>
              <w:t>Impartiality &amp; Conflict of Interest Controls</w:t>
            </w:r>
          </w:p>
        </w:tc>
        <w:tc>
          <w:tcPr>
            <w:tcW w:type="dxa" w:w="1587"/>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4"/>
              </w:rPr>
              <w:t>Procedure / Record</w:t>
            </w:r>
          </w:p>
        </w:tc>
        <w:tc>
          <w:tcPr>
            <w:tcW w:type="dxa" w:w="4309"/>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4"/>
              </w:rPr>
              <w:t>Identify and manage threats to impartiality and professional judgement.</w:t>
            </w:r>
          </w:p>
        </w:tc>
        <w:tc>
          <w:tcPr>
            <w:tcW w:type="dxa" w:w="2211"/>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4"/>
              </w:rPr>
              <w:t>Laboratory Director</w:t>
            </w:r>
          </w:p>
        </w:tc>
        <w:tc>
          <w:tcPr>
            <w:tcW w:type="dxa" w:w="3402"/>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4"/>
              </w:rPr>
              <w:t>Conflict declarations and mitigation records</w:t>
            </w:r>
          </w:p>
        </w:tc>
      </w:tr>
      <w:tr>
        <w:trPr>
          <w:cantSplit/>
        </w:trPr>
        <w:tc>
          <w:tcPr>
            <w:tcW w:type="dxa" w:w="907"/>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4"/>
              </w:rPr>
              <w:t>DM-006</w:t>
            </w:r>
          </w:p>
        </w:tc>
        <w:tc>
          <w:tcPr>
            <w:tcW w:type="dxa" w:w="1644"/>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4"/>
              </w:rPr>
              <w:t>Governance</w:t>
            </w:r>
          </w:p>
        </w:tc>
        <w:tc>
          <w:tcPr>
            <w:tcW w:type="dxa" w:w="2835"/>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4"/>
              </w:rPr>
              <w:t>Confidentiality &amp; Information Protection Procedure</w:t>
            </w:r>
          </w:p>
        </w:tc>
        <w:tc>
          <w:tcPr>
            <w:tcW w:type="dxa" w:w="1587"/>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4"/>
              </w:rPr>
              <w:t>Procedure</w:t>
            </w:r>
          </w:p>
        </w:tc>
        <w:tc>
          <w:tcPr>
            <w:tcW w:type="dxa" w:w="4309"/>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4"/>
              </w:rPr>
              <w:t>Protect patient and laboratory information throughout its lifecycle.</w:t>
            </w:r>
          </w:p>
        </w:tc>
        <w:tc>
          <w:tcPr>
            <w:tcW w:type="dxa" w:w="2211"/>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4"/>
              </w:rPr>
              <w:t>Quality Manager / IT</w:t>
            </w:r>
          </w:p>
        </w:tc>
        <w:tc>
          <w:tcPr>
            <w:tcW w:type="dxa" w:w="3402"/>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4"/>
              </w:rPr>
              <w:t>Access controls, confidentiality agreements, incident records</w:t>
            </w:r>
          </w:p>
        </w:tc>
      </w:tr>
      <w:tr>
        <w:trPr>
          <w:cantSplit/>
        </w:trPr>
        <w:tc>
          <w:tcPr>
            <w:tcW w:type="dxa" w:w="907"/>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4"/>
              </w:rPr>
              <w:t>DM-007</w:t>
            </w:r>
          </w:p>
        </w:tc>
        <w:tc>
          <w:tcPr>
            <w:tcW w:type="dxa" w:w="1644"/>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4"/>
              </w:rPr>
              <w:t>Planning</w:t>
            </w:r>
          </w:p>
        </w:tc>
        <w:tc>
          <w:tcPr>
            <w:tcW w:type="dxa" w:w="2835"/>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4"/>
              </w:rPr>
              <w:t>Risk &amp; Opportunity Management Procedure</w:t>
            </w:r>
          </w:p>
        </w:tc>
        <w:tc>
          <w:tcPr>
            <w:tcW w:type="dxa" w:w="1587"/>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4"/>
              </w:rPr>
              <w:t>Procedure</w:t>
            </w:r>
          </w:p>
        </w:tc>
        <w:tc>
          <w:tcPr>
            <w:tcW w:type="dxa" w:w="4309"/>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4"/>
              </w:rPr>
              <w:t>Apply risk-based thinking to patient safety, staff, services and LQMS performance.</w:t>
            </w:r>
          </w:p>
        </w:tc>
        <w:tc>
          <w:tcPr>
            <w:tcW w:type="dxa" w:w="2211"/>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4"/>
              </w:rPr>
              <w:t>Quality Manager</w:t>
            </w:r>
          </w:p>
        </w:tc>
        <w:tc>
          <w:tcPr>
            <w:tcW w:type="dxa" w:w="3402"/>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4"/>
              </w:rPr>
              <w:t>Risk register and treatment records</w:t>
            </w:r>
          </w:p>
        </w:tc>
      </w:tr>
      <w:tr>
        <w:trPr>
          <w:cantSplit/>
        </w:trPr>
        <w:tc>
          <w:tcPr>
            <w:tcW w:type="dxa" w:w="907"/>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4"/>
              </w:rPr>
              <w:t>DM-008</w:t>
            </w:r>
          </w:p>
        </w:tc>
        <w:tc>
          <w:tcPr>
            <w:tcW w:type="dxa" w:w="1644"/>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4"/>
              </w:rPr>
              <w:t>Planning</w:t>
            </w:r>
          </w:p>
        </w:tc>
        <w:tc>
          <w:tcPr>
            <w:tcW w:type="dxa" w:w="2835"/>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4"/>
              </w:rPr>
              <w:t>Laboratory Risk Register</w:t>
            </w:r>
          </w:p>
        </w:tc>
        <w:tc>
          <w:tcPr>
            <w:tcW w:type="dxa" w:w="1587"/>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4"/>
              </w:rPr>
              <w:t>Register</w:t>
            </w:r>
          </w:p>
        </w:tc>
        <w:tc>
          <w:tcPr>
            <w:tcW w:type="dxa" w:w="4309"/>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4"/>
              </w:rPr>
              <w:t>Record significant risks, controls, actions and monitoring.</w:t>
            </w:r>
          </w:p>
        </w:tc>
        <w:tc>
          <w:tcPr>
            <w:tcW w:type="dxa" w:w="2211"/>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4"/>
              </w:rPr>
              <w:t>Process Owners / Quality Manager</w:t>
            </w:r>
          </w:p>
        </w:tc>
        <w:tc>
          <w:tcPr>
            <w:tcW w:type="dxa" w:w="3402"/>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4"/>
              </w:rPr>
              <w:t>Updated risk register</w:t>
            </w:r>
          </w:p>
        </w:tc>
      </w:tr>
      <w:tr>
        <w:trPr>
          <w:cantSplit/>
        </w:trPr>
        <w:tc>
          <w:tcPr>
            <w:tcW w:type="dxa" w:w="907"/>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4"/>
              </w:rPr>
              <w:t>DM-009</w:t>
            </w:r>
          </w:p>
        </w:tc>
        <w:tc>
          <w:tcPr>
            <w:tcW w:type="dxa" w:w="1644"/>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4"/>
              </w:rPr>
              <w:t>Planning</w:t>
            </w:r>
          </w:p>
        </w:tc>
        <w:tc>
          <w:tcPr>
            <w:tcW w:type="dxa" w:w="2835"/>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4"/>
              </w:rPr>
              <w:t>Quality Objectives &amp; Indicators Register</w:t>
            </w:r>
          </w:p>
        </w:tc>
        <w:tc>
          <w:tcPr>
            <w:tcW w:type="dxa" w:w="1587"/>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4"/>
              </w:rPr>
              <w:t>Register</w:t>
            </w:r>
          </w:p>
        </w:tc>
        <w:tc>
          <w:tcPr>
            <w:tcW w:type="dxa" w:w="4309"/>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4"/>
              </w:rPr>
              <w:t>Translate policy commitments into measurable objectives and monitored indicators.</w:t>
            </w:r>
          </w:p>
        </w:tc>
        <w:tc>
          <w:tcPr>
            <w:tcW w:type="dxa" w:w="2211"/>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4"/>
              </w:rPr>
              <w:t>Laboratory Director / Quality Manager</w:t>
            </w:r>
          </w:p>
        </w:tc>
        <w:tc>
          <w:tcPr>
            <w:tcW w:type="dxa" w:w="3402"/>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4"/>
              </w:rPr>
              <w:t>Approved objectives, definitions and review results</w:t>
            </w:r>
          </w:p>
        </w:tc>
      </w:tr>
      <w:tr>
        <w:trPr>
          <w:cantSplit/>
        </w:trPr>
        <w:tc>
          <w:tcPr>
            <w:tcW w:type="dxa" w:w="907"/>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4"/>
              </w:rPr>
              <w:t>DM-010</w:t>
            </w:r>
          </w:p>
        </w:tc>
        <w:tc>
          <w:tcPr>
            <w:tcW w:type="dxa" w:w="1644"/>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4"/>
              </w:rPr>
              <w:t>Support</w:t>
            </w:r>
          </w:p>
        </w:tc>
        <w:tc>
          <w:tcPr>
            <w:tcW w:type="dxa" w:w="2835"/>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4"/>
              </w:rPr>
              <w:t>Documented Information Procedure</w:t>
            </w:r>
          </w:p>
        </w:tc>
        <w:tc>
          <w:tcPr>
            <w:tcW w:type="dxa" w:w="1587"/>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4"/>
              </w:rPr>
              <w:t>Procedure</w:t>
            </w:r>
          </w:p>
        </w:tc>
        <w:tc>
          <w:tcPr>
            <w:tcW w:type="dxa" w:w="4309"/>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4"/>
              </w:rPr>
              <w:t>Control creation, approval, revision, access, retention and disposition of documents and records.</w:t>
            </w:r>
          </w:p>
        </w:tc>
        <w:tc>
          <w:tcPr>
            <w:tcW w:type="dxa" w:w="2211"/>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4"/>
              </w:rPr>
              <w:t>Quality Manager / Document Controller</w:t>
            </w:r>
          </w:p>
        </w:tc>
        <w:tc>
          <w:tcPr>
            <w:tcW w:type="dxa" w:w="3402"/>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4"/>
              </w:rPr>
              <w:t>Master document register and controlled versions</w:t>
            </w:r>
          </w:p>
        </w:tc>
      </w:tr>
      <w:tr>
        <w:trPr>
          <w:cantSplit/>
        </w:trPr>
        <w:tc>
          <w:tcPr>
            <w:tcW w:type="dxa" w:w="907"/>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4"/>
              </w:rPr>
              <w:t>DM-011</w:t>
            </w:r>
          </w:p>
        </w:tc>
        <w:tc>
          <w:tcPr>
            <w:tcW w:type="dxa" w:w="1644"/>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4"/>
              </w:rPr>
              <w:t>Support</w:t>
            </w:r>
          </w:p>
        </w:tc>
        <w:tc>
          <w:tcPr>
            <w:tcW w:type="dxa" w:w="2835"/>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4"/>
              </w:rPr>
              <w:t>Master Document &amp; Record Register</w:t>
            </w:r>
          </w:p>
        </w:tc>
        <w:tc>
          <w:tcPr>
            <w:tcW w:type="dxa" w:w="1587"/>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4"/>
              </w:rPr>
              <w:t>Register</w:t>
            </w:r>
          </w:p>
        </w:tc>
        <w:tc>
          <w:tcPr>
            <w:tcW w:type="dxa" w:w="4309"/>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4"/>
              </w:rPr>
              <w:t>Maintain status, owner, version, retention and location of controlled information.</w:t>
            </w:r>
          </w:p>
        </w:tc>
        <w:tc>
          <w:tcPr>
            <w:tcW w:type="dxa" w:w="2211"/>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4"/>
              </w:rPr>
              <w:t>Document Controller</w:t>
            </w:r>
          </w:p>
        </w:tc>
        <w:tc>
          <w:tcPr>
            <w:tcW w:type="dxa" w:w="3402"/>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4"/>
              </w:rPr>
              <w:t>Current register</w:t>
            </w:r>
          </w:p>
        </w:tc>
      </w:tr>
      <w:tr>
        <w:trPr>
          <w:cantSplit/>
        </w:trPr>
        <w:tc>
          <w:tcPr>
            <w:tcW w:type="dxa" w:w="907"/>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4"/>
              </w:rPr>
              <w:t>DM-012</w:t>
            </w:r>
          </w:p>
        </w:tc>
        <w:tc>
          <w:tcPr>
            <w:tcW w:type="dxa" w:w="1644"/>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4"/>
              </w:rPr>
              <w:t>Support</w:t>
            </w:r>
          </w:p>
        </w:tc>
        <w:tc>
          <w:tcPr>
            <w:tcW w:type="dxa" w:w="2835"/>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4"/>
              </w:rPr>
              <w:t>Personnel Competence Procedure</w:t>
            </w:r>
          </w:p>
        </w:tc>
        <w:tc>
          <w:tcPr>
            <w:tcW w:type="dxa" w:w="1587"/>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4"/>
              </w:rPr>
              <w:t>Procedure</w:t>
            </w:r>
          </w:p>
        </w:tc>
        <w:tc>
          <w:tcPr>
            <w:tcW w:type="dxa" w:w="4309"/>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4"/>
              </w:rPr>
              <w:t>Define qualification, authorization, training, competence assessment and continuing development.</w:t>
            </w:r>
          </w:p>
        </w:tc>
        <w:tc>
          <w:tcPr>
            <w:tcW w:type="dxa" w:w="2211"/>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4"/>
              </w:rPr>
              <w:t>Laboratory Director / Section Heads</w:t>
            </w:r>
          </w:p>
        </w:tc>
        <w:tc>
          <w:tcPr>
            <w:tcW w:type="dxa" w:w="3402"/>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4"/>
              </w:rPr>
              <w:t>Competence matrix, assessments, authorization records</w:t>
            </w:r>
          </w:p>
        </w:tc>
      </w:tr>
      <w:tr>
        <w:trPr>
          <w:cantSplit/>
        </w:trPr>
        <w:tc>
          <w:tcPr>
            <w:tcW w:type="dxa" w:w="907"/>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4"/>
              </w:rPr>
              <w:t>DM-013</w:t>
            </w:r>
          </w:p>
        </w:tc>
        <w:tc>
          <w:tcPr>
            <w:tcW w:type="dxa" w:w="1644"/>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4"/>
              </w:rPr>
              <w:t>Support</w:t>
            </w:r>
          </w:p>
        </w:tc>
        <w:tc>
          <w:tcPr>
            <w:tcW w:type="dxa" w:w="2835"/>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4"/>
              </w:rPr>
              <w:t>Personnel Training &amp; Competence Records</w:t>
            </w:r>
          </w:p>
        </w:tc>
        <w:tc>
          <w:tcPr>
            <w:tcW w:type="dxa" w:w="1587"/>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4"/>
              </w:rPr>
              <w:t>Records</w:t>
            </w:r>
          </w:p>
        </w:tc>
        <w:tc>
          <w:tcPr>
            <w:tcW w:type="dxa" w:w="4309"/>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4"/>
              </w:rPr>
              <w:t>Provide traceable evidence of role-based competence.</w:t>
            </w:r>
          </w:p>
        </w:tc>
        <w:tc>
          <w:tcPr>
            <w:tcW w:type="dxa" w:w="2211"/>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4"/>
              </w:rPr>
              <w:t>Section Heads / HR</w:t>
            </w:r>
          </w:p>
        </w:tc>
        <w:tc>
          <w:tcPr>
            <w:tcW w:type="dxa" w:w="3402"/>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4"/>
              </w:rPr>
              <w:t>Completed training and competence records</w:t>
            </w:r>
          </w:p>
        </w:tc>
      </w:tr>
      <w:tr>
        <w:trPr>
          <w:cantSplit/>
        </w:trPr>
        <w:tc>
          <w:tcPr>
            <w:tcW w:type="dxa" w:w="907"/>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4"/>
              </w:rPr>
              <w:t>DM-014</w:t>
            </w:r>
          </w:p>
        </w:tc>
        <w:tc>
          <w:tcPr>
            <w:tcW w:type="dxa" w:w="1644"/>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4"/>
              </w:rPr>
              <w:t>Support</w:t>
            </w:r>
          </w:p>
        </w:tc>
        <w:tc>
          <w:tcPr>
            <w:tcW w:type="dxa" w:w="2835"/>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4"/>
              </w:rPr>
              <w:t>Facilities &amp; Environmental Conditions Procedure</w:t>
            </w:r>
          </w:p>
        </w:tc>
        <w:tc>
          <w:tcPr>
            <w:tcW w:type="dxa" w:w="1587"/>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4"/>
              </w:rPr>
              <w:t>Procedure</w:t>
            </w:r>
          </w:p>
        </w:tc>
        <w:tc>
          <w:tcPr>
            <w:tcW w:type="dxa" w:w="4309"/>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4"/>
              </w:rPr>
              <w:t>Control premises and environmental conditions that can affect examinations, safety and integrity.</w:t>
            </w:r>
          </w:p>
        </w:tc>
        <w:tc>
          <w:tcPr>
            <w:tcW w:type="dxa" w:w="2211"/>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4"/>
              </w:rPr>
              <w:t>Facilities / Section Heads</w:t>
            </w:r>
          </w:p>
        </w:tc>
        <w:tc>
          <w:tcPr>
            <w:tcW w:type="dxa" w:w="3402"/>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4"/>
              </w:rPr>
              <w:t>Monitoring and corrective action records</w:t>
            </w:r>
          </w:p>
        </w:tc>
      </w:tr>
      <w:tr>
        <w:trPr>
          <w:cantSplit/>
        </w:trPr>
        <w:tc>
          <w:tcPr>
            <w:tcW w:type="dxa" w:w="907"/>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4"/>
              </w:rPr>
              <w:t>DM-015</w:t>
            </w:r>
          </w:p>
        </w:tc>
        <w:tc>
          <w:tcPr>
            <w:tcW w:type="dxa" w:w="1644"/>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4"/>
              </w:rPr>
              <w:t>Resources</w:t>
            </w:r>
          </w:p>
        </w:tc>
        <w:tc>
          <w:tcPr>
            <w:tcW w:type="dxa" w:w="2835"/>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4"/>
              </w:rPr>
              <w:t>Equipment Lifecycle Procedure</w:t>
            </w:r>
          </w:p>
        </w:tc>
        <w:tc>
          <w:tcPr>
            <w:tcW w:type="dxa" w:w="1587"/>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4"/>
              </w:rPr>
              <w:t>Procedure</w:t>
            </w:r>
          </w:p>
        </w:tc>
        <w:tc>
          <w:tcPr>
            <w:tcW w:type="dxa" w:w="4309"/>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4"/>
              </w:rPr>
              <w:t>Control selection, acceptance, maintenance, calibration/verification, repair and retirement of equipment.</w:t>
            </w:r>
          </w:p>
        </w:tc>
        <w:tc>
          <w:tcPr>
            <w:tcW w:type="dxa" w:w="2211"/>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4"/>
              </w:rPr>
              <w:t>Technical Manager / Section Heads</w:t>
            </w:r>
          </w:p>
        </w:tc>
        <w:tc>
          <w:tcPr>
            <w:tcW w:type="dxa" w:w="3402"/>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4"/>
              </w:rPr>
              <w:t>Equipment files and maintenance records</w:t>
            </w:r>
          </w:p>
        </w:tc>
      </w:tr>
      <w:tr>
        <w:trPr>
          <w:cantSplit/>
        </w:trPr>
        <w:tc>
          <w:tcPr>
            <w:tcW w:type="dxa" w:w="907"/>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4"/>
              </w:rPr>
              <w:t>DM-016</w:t>
            </w:r>
          </w:p>
        </w:tc>
        <w:tc>
          <w:tcPr>
            <w:tcW w:type="dxa" w:w="1644"/>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4"/>
              </w:rPr>
              <w:t>Resources</w:t>
            </w:r>
          </w:p>
        </w:tc>
        <w:tc>
          <w:tcPr>
            <w:tcW w:type="dxa" w:w="2835"/>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4"/>
              </w:rPr>
              <w:t>Equipment Register</w:t>
            </w:r>
          </w:p>
        </w:tc>
        <w:tc>
          <w:tcPr>
            <w:tcW w:type="dxa" w:w="1587"/>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4"/>
              </w:rPr>
              <w:t>Register</w:t>
            </w:r>
          </w:p>
        </w:tc>
        <w:tc>
          <w:tcPr>
            <w:tcW w:type="dxa" w:w="4309"/>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4"/>
              </w:rPr>
              <w:t>Maintain equipment identification, status, location and service history.</w:t>
            </w:r>
          </w:p>
        </w:tc>
        <w:tc>
          <w:tcPr>
            <w:tcW w:type="dxa" w:w="2211"/>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4"/>
              </w:rPr>
              <w:t>Equipment Coordinator</w:t>
            </w:r>
          </w:p>
        </w:tc>
        <w:tc>
          <w:tcPr>
            <w:tcW w:type="dxa" w:w="3402"/>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4"/>
              </w:rPr>
              <w:t>Current equipment register</w:t>
            </w:r>
          </w:p>
        </w:tc>
      </w:tr>
      <w:tr>
        <w:trPr>
          <w:cantSplit/>
        </w:trPr>
        <w:tc>
          <w:tcPr>
            <w:tcW w:type="dxa" w:w="907"/>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4"/>
              </w:rPr>
              <w:t>DM-017</w:t>
            </w:r>
          </w:p>
        </w:tc>
        <w:tc>
          <w:tcPr>
            <w:tcW w:type="dxa" w:w="1644"/>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4"/>
              </w:rPr>
              <w:t>Resources</w:t>
            </w:r>
          </w:p>
        </w:tc>
        <w:tc>
          <w:tcPr>
            <w:tcW w:type="dxa" w:w="2835"/>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4"/>
              </w:rPr>
              <w:t>Reagent &amp; Consumable Control Procedure</w:t>
            </w:r>
          </w:p>
        </w:tc>
        <w:tc>
          <w:tcPr>
            <w:tcW w:type="dxa" w:w="1587"/>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4"/>
              </w:rPr>
              <w:t>Procedure</w:t>
            </w:r>
          </w:p>
        </w:tc>
        <w:tc>
          <w:tcPr>
            <w:tcW w:type="dxa" w:w="4309"/>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4"/>
              </w:rPr>
              <w:t>Control selection, receipt, storage, lot acceptance, inventory and expiry.</w:t>
            </w:r>
          </w:p>
        </w:tc>
        <w:tc>
          <w:tcPr>
            <w:tcW w:type="dxa" w:w="2211"/>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4"/>
              </w:rPr>
              <w:t>Section Heads</w:t>
            </w:r>
          </w:p>
        </w:tc>
        <w:tc>
          <w:tcPr>
            <w:tcW w:type="dxa" w:w="3402"/>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4"/>
              </w:rPr>
              <w:t>Lot acceptance and inventory records</w:t>
            </w:r>
          </w:p>
        </w:tc>
      </w:tr>
      <w:tr>
        <w:trPr>
          <w:cantSplit/>
        </w:trPr>
        <w:tc>
          <w:tcPr>
            <w:tcW w:type="dxa" w:w="907"/>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4"/>
              </w:rPr>
              <w:t>DM-018</w:t>
            </w:r>
          </w:p>
        </w:tc>
        <w:tc>
          <w:tcPr>
            <w:tcW w:type="dxa" w:w="1644"/>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4"/>
              </w:rPr>
              <w:t>Resources</w:t>
            </w:r>
          </w:p>
        </w:tc>
        <w:tc>
          <w:tcPr>
            <w:tcW w:type="dxa" w:w="2835"/>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4"/>
              </w:rPr>
              <w:t>External Providers &amp; Referral Laboratories Procedure</w:t>
            </w:r>
          </w:p>
        </w:tc>
        <w:tc>
          <w:tcPr>
            <w:tcW w:type="dxa" w:w="1587"/>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4"/>
              </w:rPr>
              <w:t>Procedure</w:t>
            </w:r>
          </w:p>
        </w:tc>
        <w:tc>
          <w:tcPr>
            <w:tcW w:type="dxa" w:w="4309"/>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4"/>
              </w:rPr>
              <w:t>Evaluate and monitor external services, suppliers and referral laboratories.</w:t>
            </w:r>
          </w:p>
        </w:tc>
        <w:tc>
          <w:tcPr>
            <w:tcW w:type="dxa" w:w="2211"/>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4"/>
              </w:rPr>
              <w:t>Procurement / Laboratory Director</w:t>
            </w:r>
          </w:p>
        </w:tc>
        <w:tc>
          <w:tcPr>
            <w:tcW w:type="dxa" w:w="3402"/>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4"/>
              </w:rPr>
              <w:t>Approved provider list and evaluations</w:t>
            </w:r>
          </w:p>
        </w:tc>
      </w:tr>
      <w:tr>
        <w:trPr>
          <w:cantSplit/>
        </w:trPr>
        <w:tc>
          <w:tcPr>
            <w:tcW w:type="dxa" w:w="907"/>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4"/>
              </w:rPr>
              <w:t>DM-019</w:t>
            </w:r>
          </w:p>
        </w:tc>
        <w:tc>
          <w:tcPr>
            <w:tcW w:type="dxa" w:w="1644"/>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4"/>
              </w:rPr>
              <w:t>Pre-examination</w:t>
            </w:r>
          </w:p>
        </w:tc>
        <w:tc>
          <w:tcPr>
            <w:tcW w:type="dxa" w:w="2835"/>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4"/>
              </w:rPr>
              <w:t>Examination Request &amp; Patient Identification Procedure</w:t>
            </w:r>
          </w:p>
        </w:tc>
        <w:tc>
          <w:tcPr>
            <w:tcW w:type="dxa" w:w="1587"/>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4"/>
              </w:rPr>
              <w:t>Procedure</w:t>
            </w:r>
          </w:p>
        </w:tc>
        <w:tc>
          <w:tcPr>
            <w:tcW w:type="dxa" w:w="4309"/>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4"/>
              </w:rPr>
              <w:t>Ensure complete requests and unambiguous patient identification.</w:t>
            </w:r>
          </w:p>
        </w:tc>
        <w:tc>
          <w:tcPr>
            <w:tcW w:type="dxa" w:w="2211"/>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4"/>
              </w:rPr>
              <w:t>Pre-examination Lead</w:t>
            </w:r>
          </w:p>
        </w:tc>
        <w:tc>
          <w:tcPr>
            <w:tcW w:type="dxa" w:w="3402"/>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4"/>
              </w:rPr>
              <w:t>Request and identification records</w:t>
            </w:r>
          </w:p>
        </w:tc>
      </w:tr>
      <w:tr>
        <w:trPr>
          <w:cantSplit/>
        </w:trPr>
        <w:tc>
          <w:tcPr>
            <w:tcW w:type="dxa" w:w="907"/>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4"/>
              </w:rPr>
              <w:t>DM-020</w:t>
            </w:r>
          </w:p>
        </w:tc>
        <w:tc>
          <w:tcPr>
            <w:tcW w:type="dxa" w:w="1644"/>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4"/>
              </w:rPr>
              <w:t>Pre-examination</w:t>
            </w:r>
          </w:p>
        </w:tc>
        <w:tc>
          <w:tcPr>
            <w:tcW w:type="dxa" w:w="2835"/>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4"/>
              </w:rPr>
              <w:t>Sample Collection &amp; Handling Procedure</w:t>
            </w:r>
          </w:p>
        </w:tc>
        <w:tc>
          <w:tcPr>
            <w:tcW w:type="dxa" w:w="1587"/>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4"/>
              </w:rPr>
              <w:t>Procedure</w:t>
            </w:r>
          </w:p>
        </w:tc>
        <w:tc>
          <w:tcPr>
            <w:tcW w:type="dxa" w:w="4309"/>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4"/>
              </w:rPr>
              <w:t>Control patient preparation, collection, labelling, preservation and handling.</w:t>
            </w:r>
          </w:p>
        </w:tc>
        <w:tc>
          <w:tcPr>
            <w:tcW w:type="dxa" w:w="2211"/>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4"/>
              </w:rPr>
              <w:t>Pre-examination Lead</w:t>
            </w:r>
          </w:p>
        </w:tc>
        <w:tc>
          <w:tcPr>
            <w:tcW w:type="dxa" w:w="3402"/>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4"/>
              </w:rPr>
              <w:t>Collection instructions and competency evidence</w:t>
            </w:r>
          </w:p>
        </w:tc>
      </w:tr>
      <w:tr>
        <w:trPr>
          <w:cantSplit/>
        </w:trPr>
        <w:tc>
          <w:tcPr>
            <w:tcW w:type="dxa" w:w="907"/>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4"/>
              </w:rPr>
              <w:t>DM-021</w:t>
            </w:r>
          </w:p>
        </w:tc>
        <w:tc>
          <w:tcPr>
            <w:tcW w:type="dxa" w:w="1644"/>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4"/>
              </w:rPr>
              <w:t>Pre-examination</w:t>
            </w:r>
          </w:p>
        </w:tc>
        <w:tc>
          <w:tcPr>
            <w:tcW w:type="dxa" w:w="2835"/>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4"/>
              </w:rPr>
              <w:t>Sample Transport &amp; Receipt Procedure</w:t>
            </w:r>
          </w:p>
        </w:tc>
        <w:tc>
          <w:tcPr>
            <w:tcW w:type="dxa" w:w="1587"/>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4"/>
              </w:rPr>
              <w:t>Procedure</w:t>
            </w:r>
          </w:p>
        </w:tc>
        <w:tc>
          <w:tcPr>
            <w:tcW w:type="dxa" w:w="4309"/>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4"/>
              </w:rPr>
              <w:t>Protect sample integrity during transport, receipt and accessioning.</w:t>
            </w:r>
          </w:p>
        </w:tc>
        <w:tc>
          <w:tcPr>
            <w:tcW w:type="dxa" w:w="2211"/>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4"/>
              </w:rPr>
              <w:t>Specimen Reception Lead</w:t>
            </w:r>
          </w:p>
        </w:tc>
        <w:tc>
          <w:tcPr>
            <w:tcW w:type="dxa" w:w="3402"/>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4"/>
              </w:rPr>
              <w:t>Transport conditions, receipt records</w:t>
            </w:r>
          </w:p>
        </w:tc>
      </w:tr>
      <w:tr>
        <w:trPr>
          <w:cantSplit/>
        </w:trPr>
        <w:tc>
          <w:tcPr>
            <w:tcW w:type="dxa" w:w="907"/>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4"/>
              </w:rPr>
              <w:t>DM-022</w:t>
            </w:r>
          </w:p>
        </w:tc>
        <w:tc>
          <w:tcPr>
            <w:tcW w:type="dxa" w:w="1644"/>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4"/>
              </w:rPr>
              <w:t>Pre-examination</w:t>
            </w:r>
          </w:p>
        </w:tc>
        <w:tc>
          <w:tcPr>
            <w:tcW w:type="dxa" w:w="2835"/>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4"/>
              </w:rPr>
              <w:t>Sample Acceptance / Rejection Criteria</w:t>
            </w:r>
          </w:p>
        </w:tc>
        <w:tc>
          <w:tcPr>
            <w:tcW w:type="dxa" w:w="1587"/>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4"/>
              </w:rPr>
              <w:t>Standard / Work Instruction</w:t>
            </w:r>
          </w:p>
        </w:tc>
        <w:tc>
          <w:tcPr>
            <w:tcW w:type="dxa" w:w="4309"/>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4"/>
              </w:rPr>
              <w:t>Apply consistent acceptance, rejection and escalation criteria.</w:t>
            </w:r>
          </w:p>
        </w:tc>
        <w:tc>
          <w:tcPr>
            <w:tcW w:type="dxa" w:w="2211"/>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4"/>
              </w:rPr>
              <w:t>Section Heads</w:t>
            </w:r>
          </w:p>
        </w:tc>
        <w:tc>
          <w:tcPr>
            <w:tcW w:type="dxa" w:w="3402"/>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4"/>
              </w:rPr>
              <w:t>Rejection records and exception approvals</w:t>
            </w:r>
          </w:p>
        </w:tc>
      </w:tr>
      <w:tr>
        <w:trPr>
          <w:cantSplit/>
        </w:trPr>
        <w:tc>
          <w:tcPr>
            <w:tcW w:type="dxa" w:w="907"/>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4"/>
              </w:rPr>
              <w:t>DM-023</w:t>
            </w:r>
          </w:p>
        </w:tc>
        <w:tc>
          <w:tcPr>
            <w:tcW w:type="dxa" w:w="1644"/>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4"/>
              </w:rPr>
              <w:t>Examination</w:t>
            </w:r>
          </w:p>
        </w:tc>
        <w:tc>
          <w:tcPr>
            <w:tcW w:type="dxa" w:w="2835"/>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4"/>
              </w:rPr>
              <w:t>Method Selection, Verification &amp; Validation Procedure</w:t>
            </w:r>
          </w:p>
        </w:tc>
        <w:tc>
          <w:tcPr>
            <w:tcW w:type="dxa" w:w="1587"/>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4"/>
              </w:rPr>
              <w:t>Procedure</w:t>
            </w:r>
          </w:p>
        </w:tc>
        <w:tc>
          <w:tcPr>
            <w:tcW w:type="dxa" w:w="4309"/>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4"/>
              </w:rPr>
              <w:t>Ensure examination procedures are fit for intended clinical use before routine implementation.</w:t>
            </w:r>
          </w:p>
        </w:tc>
        <w:tc>
          <w:tcPr>
            <w:tcW w:type="dxa" w:w="2211"/>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4"/>
              </w:rPr>
              <w:t>Technical Manager</w:t>
            </w:r>
          </w:p>
        </w:tc>
        <w:tc>
          <w:tcPr>
            <w:tcW w:type="dxa" w:w="3402"/>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4"/>
              </w:rPr>
              <w:t>Verification/validation plans and reports</w:t>
            </w:r>
          </w:p>
        </w:tc>
      </w:tr>
      <w:tr>
        <w:trPr>
          <w:cantSplit/>
        </w:trPr>
        <w:tc>
          <w:tcPr>
            <w:tcW w:type="dxa" w:w="907"/>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4"/>
              </w:rPr>
              <w:t>DM-024</w:t>
            </w:r>
          </w:p>
        </w:tc>
        <w:tc>
          <w:tcPr>
            <w:tcW w:type="dxa" w:w="1644"/>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4"/>
              </w:rPr>
              <w:t>Examination</w:t>
            </w:r>
          </w:p>
        </w:tc>
        <w:tc>
          <w:tcPr>
            <w:tcW w:type="dxa" w:w="2835"/>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4"/>
              </w:rPr>
              <w:t>Examination Procedure / SOP Set</w:t>
            </w:r>
          </w:p>
        </w:tc>
        <w:tc>
          <w:tcPr>
            <w:tcW w:type="dxa" w:w="1587"/>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4"/>
              </w:rPr>
              <w:t>SOP / Work Instruction</w:t>
            </w:r>
          </w:p>
        </w:tc>
        <w:tc>
          <w:tcPr>
            <w:tcW w:type="dxa" w:w="4309"/>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4"/>
              </w:rPr>
              <w:t>Provide controlled technical steps, quality controls, calculations and result interpretation rules.</w:t>
            </w:r>
          </w:p>
        </w:tc>
        <w:tc>
          <w:tcPr>
            <w:tcW w:type="dxa" w:w="2211"/>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4"/>
              </w:rPr>
              <w:t>Section Heads</w:t>
            </w:r>
          </w:p>
        </w:tc>
        <w:tc>
          <w:tcPr>
            <w:tcW w:type="dxa" w:w="3402"/>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4"/>
              </w:rPr>
              <w:t>Approved SOPs and version history</w:t>
            </w:r>
          </w:p>
        </w:tc>
      </w:tr>
      <w:tr>
        <w:trPr>
          <w:cantSplit/>
        </w:trPr>
        <w:tc>
          <w:tcPr>
            <w:tcW w:type="dxa" w:w="907"/>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4"/>
              </w:rPr>
              <w:t>DM-025</w:t>
            </w:r>
          </w:p>
        </w:tc>
        <w:tc>
          <w:tcPr>
            <w:tcW w:type="dxa" w:w="1644"/>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4"/>
              </w:rPr>
              <w:t>Examination</w:t>
            </w:r>
          </w:p>
        </w:tc>
        <w:tc>
          <w:tcPr>
            <w:tcW w:type="dxa" w:w="2835"/>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4"/>
              </w:rPr>
              <w:t>Internal Quality Control Procedure</w:t>
            </w:r>
          </w:p>
        </w:tc>
        <w:tc>
          <w:tcPr>
            <w:tcW w:type="dxa" w:w="1587"/>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4"/>
              </w:rPr>
              <w:t>Procedure</w:t>
            </w:r>
          </w:p>
        </w:tc>
        <w:tc>
          <w:tcPr>
            <w:tcW w:type="dxa" w:w="4309"/>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4"/>
              </w:rPr>
              <w:t>Monitor examination performance and define response to control failures.</w:t>
            </w:r>
          </w:p>
        </w:tc>
        <w:tc>
          <w:tcPr>
            <w:tcW w:type="dxa" w:w="2211"/>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4"/>
              </w:rPr>
              <w:t>Section Heads / Quality Lead</w:t>
            </w:r>
          </w:p>
        </w:tc>
        <w:tc>
          <w:tcPr>
            <w:tcW w:type="dxa" w:w="3402"/>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4"/>
              </w:rPr>
              <w:t>QC records, reviews and corrective actions</w:t>
            </w:r>
          </w:p>
        </w:tc>
      </w:tr>
      <w:tr>
        <w:trPr>
          <w:cantSplit/>
        </w:trPr>
        <w:tc>
          <w:tcPr>
            <w:tcW w:type="dxa" w:w="907"/>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4"/>
              </w:rPr>
              <w:t>DM-026</w:t>
            </w:r>
          </w:p>
        </w:tc>
        <w:tc>
          <w:tcPr>
            <w:tcW w:type="dxa" w:w="1644"/>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4"/>
              </w:rPr>
              <w:t>Examination</w:t>
            </w:r>
          </w:p>
        </w:tc>
        <w:tc>
          <w:tcPr>
            <w:tcW w:type="dxa" w:w="2835"/>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4"/>
              </w:rPr>
              <w:t>External Quality Assessment / Proficiency Testing Procedure</w:t>
            </w:r>
          </w:p>
        </w:tc>
        <w:tc>
          <w:tcPr>
            <w:tcW w:type="dxa" w:w="1587"/>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4"/>
              </w:rPr>
              <w:t>Procedure</w:t>
            </w:r>
          </w:p>
        </w:tc>
        <w:tc>
          <w:tcPr>
            <w:tcW w:type="dxa" w:w="4309"/>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4"/>
              </w:rPr>
              <w:t>Evaluate external comparability and respond to unsatisfactory performance.</w:t>
            </w:r>
          </w:p>
        </w:tc>
        <w:tc>
          <w:tcPr>
            <w:tcW w:type="dxa" w:w="2211"/>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4"/>
              </w:rPr>
              <w:t>Quality Manager / Section Heads</w:t>
            </w:r>
          </w:p>
        </w:tc>
        <w:tc>
          <w:tcPr>
            <w:tcW w:type="dxa" w:w="3402"/>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4"/>
              </w:rPr>
              <w:t>EQA/PT results and investigations</w:t>
            </w:r>
          </w:p>
        </w:tc>
      </w:tr>
      <w:tr>
        <w:trPr>
          <w:cantSplit/>
        </w:trPr>
        <w:tc>
          <w:tcPr>
            <w:tcW w:type="dxa" w:w="907"/>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4"/>
              </w:rPr>
              <w:t>DM-027</w:t>
            </w:r>
          </w:p>
        </w:tc>
        <w:tc>
          <w:tcPr>
            <w:tcW w:type="dxa" w:w="1644"/>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4"/>
              </w:rPr>
              <w:t>Examination</w:t>
            </w:r>
          </w:p>
        </w:tc>
        <w:tc>
          <w:tcPr>
            <w:tcW w:type="dxa" w:w="2835"/>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4"/>
              </w:rPr>
              <w:t>Measurement Uncertainty / Performance Characterization Records</w:t>
            </w:r>
          </w:p>
        </w:tc>
        <w:tc>
          <w:tcPr>
            <w:tcW w:type="dxa" w:w="1587"/>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4"/>
              </w:rPr>
              <w:t>Record / Technical File</w:t>
            </w:r>
          </w:p>
        </w:tc>
        <w:tc>
          <w:tcPr>
            <w:tcW w:type="dxa" w:w="4309"/>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4"/>
              </w:rPr>
              <w:t>Document relevant uncertainty or performance characteristics where applicable.</w:t>
            </w:r>
          </w:p>
        </w:tc>
        <w:tc>
          <w:tcPr>
            <w:tcW w:type="dxa" w:w="2211"/>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4"/>
              </w:rPr>
              <w:t>Technical Manager</w:t>
            </w:r>
          </w:p>
        </w:tc>
        <w:tc>
          <w:tcPr>
            <w:tcW w:type="dxa" w:w="3402"/>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4"/>
              </w:rPr>
              <w:t>Calculation and review records</w:t>
            </w:r>
          </w:p>
        </w:tc>
      </w:tr>
      <w:tr>
        <w:trPr>
          <w:cantSplit/>
        </w:trPr>
        <w:tc>
          <w:tcPr>
            <w:tcW w:type="dxa" w:w="907"/>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4"/>
              </w:rPr>
              <w:t>DM-028</w:t>
            </w:r>
          </w:p>
        </w:tc>
        <w:tc>
          <w:tcPr>
            <w:tcW w:type="dxa" w:w="1644"/>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4"/>
              </w:rPr>
              <w:t>Post-examination</w:t>
            </w:r>
          </w:p>
        </w:tc>
        <w:tc>
          <w:tcPr>
            <w:tcW w:type="dxa" w:w="2835"/>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4"/>
              </w:rPr>
              <w:t>Result Review, Authorization &amp; Reporting Procedure</w:t>
            </w:r>
          </w:p>
        </w:tc>
        <w:tc>
          <w:tcPr>
            <w:tcW w:type="dxa" w:w="1587"/>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4"/>
              </w:rPr>
              <w:t>Procedure</w:t>
            </w:r>
          </w:p>
        </w:tc>
        <w:tc>
          <w:tcPr>
            <w:tcW w:type="dxa" w:w="4309"/>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4"/>
              </w:rPr>
              <w:t>Control technical review, authorization, report content and release.</w:t>
            </w:r>
          </w:p>
        </w:tc>
        <w:tc>
          <w:tcPr>
            <w:tcW w:type="dxa" w:w="2211"/>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4"/>
              </w:rPr>
              <w:t>Authorized Personnel</w:t>
            </w:r>
          </w:p>
        </w:tc>
        <w:tc>
          <w:tcPr>
            <w:tcW w:type="dxa" w:w="3402"/>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4"/>
              </w:rPr>
              <w:t>Authorization and report records</w:t>
            </w:r>
          </w:p>
        </w:tc>
      </w:tr>
      <w:tr>
        <w:trPr>
          <w:cantSplit/>
        </w:trPr>
        <w:tc>
          <w:tcPr>
            <w:tcW w:type="dxa" w:w="907"/>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4"/>
              </w:rPr>
              <w:t>DM-029</w:t>
            </w:r>
          </w:p>
        </w:tc>
        <w:tc>
          <w:tcPr>
            <w:tcW w:type="dxa" w:w="1644"/>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4"/>
              </w:rPr>
              <w:t>Post-examination</w:t>
            </w:r>
          </w:p>
        </w:tc>
        <w:tc>
          <w:tcPr>
            <w:tcW w:type="dxa" w:w="2835"/>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4"/>
              </w:rPr>
              <w:t>Critical Results Communication Procedure</w:t>
            </w:r>
          </w:p>
        </w:tc>
        <w:tc>
          <w:tcPr>
            <w:tcW w:type="dxa" w:w="1587"/>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4"/>
              </w:rPr>
              <w:t>Procedure</w:t>
            </w:r>
          </w:p>
        </w:tc>
        <w:tc>
          <w:tcPr>
            <w:tcW w:type="dxa" w:w="4309"/>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4"/>
              </w:rPr>
              <w:t>Ensure urgent results are communicated, acknowledged and traceable.</w:t>
            </w:r>
          </w:p>
        </w:tc>
        <w:tc>
          <w:tcPr>
            <w:tcW w:type="dxa" w:w="2211"/>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4"/>
              </w:rPr>
              <w:t>Section Heads / Authorized Staff</w:t>
            </w:r>
          </w:p>
        </w:tc>
        <w:tc>
          <w:tcPr>
            <w:tcW w:type="dxa" w:w="3402"/>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4"/>
              </w:rPr>
              <w:t>Critical-result communication records</w:t>
            </w:r>
          </w:p>
        </w:tc>
      </w:tr>
      <w:tr>
        <w:trPr>
          <w:cantSplit/>
        </w:trPr>
        <w:tc>
          <w:tcPr>
            <w:tcW w:type="dxa" w:w="907"/>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4"/>
              </w:rPr>
              <w:t>DM-030</w:t>
            </w:r>
          </w:p>
        </w:tc>
        <w:tc>
          <w:tcPr>
            <w:tcW w:type="dxa" w:w="1644"/>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4"/>
              </w:rPr>
              <w:t>Post-examination</w:t>
            </w:r>
          </w:p>
        </w:tc>
        <w:tc>
          <w:tcPr>
            <w:tcW w:type="dxa" w:w="2835"/>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4"/>
              </w:rPr>
              <w:t>Amended Report &amp; Result Correction Procedure</w:t>
            </w:r>
          </w:p>
        </w:tc>
        <w:tc>
          <w:tcPr>
            <w:tcW w:type="dxa" w:w="1587"/>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4"/>
              </w:rPr>
              <w:t>Procedure</w:t>
            </w:r>
          </w:p>
        </w:tc>
        <w:tc>
          <w:tcPr>
            <w:tcW w:type="dxa" w:w="4309"/>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4"/>
              </w:rPr>
              <w:t>Control corrections, amended reports and communication of changes.</w:t>
            </w:r>
          </w:p>
        </w:tc>
        <w:tc>
          <w:tcPr>
            <w:tcW w:type="dxa" w:w="2211"/>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4"/>
              </w:rPr>
              <w:t>Laboratory Director / Section Heads</w:t>
            </w:r>
          </w:p>
        </w:tc>
        <w:tc>
          <w:tcPr>
            <w:tcW w:type="dxa" w:w="3402"/>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4"/>
              </w:rPr>
              <w:t>Amendment records and audit trail</w:t>
            </w:r>
          </w:p>
        </w:tc>
      </w:tr>
      <w:tr>
        <w:trPr>
          <w:cantSplit/>
        </w:trPr>
        <w:tc>
          <w:tcPr>
            <w:tcW w:type="dxa" w:w="907"/>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4"/>
              </w:rPr>
              <w:t>DM-031</w:t>
            </w:r>
          </w:p>
        </w:tc>
        <w:tc>
          <w:tcPr>
            <w:tcW w:type="dxa" w:w="1644"/>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4"/>
              </w:rPr>
              <w:t>Information</w:t>
            </w:r>
          </w:p>
        </w:tc>
        <w:tc>
          <w:tcPr>
            <w:tcW w:type="dxa" w:w="2835"/>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4"/>
              </w:rPr>
              <w:t>Laboratory Information System &amp; Data Integrity Procedure</w:t>
            </w:r>
          </w:p>
        </w:tc>
        <w:tc>
          <w:tcPr>
            <w:tcW w:type="dxa" w:w="1587"/>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4"/>
              </w:rPr>
              <w:t>Procedure</w:t>
            </w:r>
          </w:p>
        </w:tc>
        <w:tc>
          <w:tcPr>
            <w:tcW w:type="dxa" w:w="4309"/>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4"/>
              </w:rPr>
              <w:t>Control access, interfaces, validation, backup, downtime and data integrity.</w:t>
            </w:r>
          </w:p>
        </w:tc>
        <w:tc>
          <w:tcPr>
            <w:tcW w:type="dxa" w:w="2211"/>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4"/>
              </w:rPr>
              <w:t>IT / Laboratory Director</w:t>
            </w:r>
          </w:p>
        </w:tc>
        <w:tc>
          <w:tcPr>
            <w:tcW w:type="dxa" w:w="3402"/>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4"/>
              </w:rPr>
              <w:t>Validation, access and downtime records</w:t>
            </w:r>
          </w:p>
        </w:tc>
      </w:tr>
      <w:tr>
        <w:trPr>
          <w:cantSplit/>
        </w:trPr>
        <w:tc>
          <w:tcPr>
            <w:tcW w:type="dxa" w:w="907"/>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4"/>
              </w:rPr>
              <w:t>DM-032</w:t>
            </w:r>
          </w:p>
        </w:tc>
        <w:tc>
          <w:tcPr>
            <w:tcW w:type="dxa" w:w="1644"/>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4"/>
              </w:rPr>
              <w:t>Quality</w:t>
            </w:r>
          </w:p>
        </w:tc>
        <w:tc>
          <w:tcPr>
            <w:tcW w:type="dxa" w:w="2835"/>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4"/>
              </w:rPr>
              <w:t>Nonconforming Work &amp; Corrective Action Procedure</w:t>
            </w:r>
          </w:p>
        </w:tc>
        <w:tc>
          <w:tcPr>
            <w:tcW w:type="dxa" w:w="1587"/>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4"/>
              </w:rPr>
              <w:t>Procedure</w:t>
            </w:r>
          </w:p>
        </w:tc>
        <w:tc>
          <w:tcPr>
            <w:tcW w:type="dxa" w:w="4309"/>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4"/>
              </w:rPr>
              <w:t>Contain problems, protect patients, determine causes, implement actions and verify effectiveness.</w:t>
            </w:r>
          </w:p>
        </w:tc>
        <w:tc>
          <w:tcPr>
            <w:tcW w:type="dxa" w:w="2211"/>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4"/>
              </w:rPr>
              <w:t>Quality Manager / Process Owners</w:t>
            </w:r>
          </w:p>
        </w:tc>
        <w:tc>
          <w:tcPr>
            <w:tcW w:type="dxa" w:w="3402"/>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4"/>
              </w:rPr>
              <w:t>Nonconformity and CAPA records</w:t>
            </w:r>
          </w:p>
        </w:tc>
      </w:tr>
      <w:tr>
        <w:trPr>
          <w:cantSplit/>
        </w:trPr>
        <w:tc>
          <w:tcPr>
            <w:tcW w:type="dxa" w:w="907"/>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4"/>
              </w:rPr>
              <w:t>DM-033</w:t>
            </w:r>
          </w:p>
        </w:tc>
        <w:tc>
          <w:tcPr>
            <w:tcW w:type="dxa" w:w="1644"/>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4"/>
              </w:rPr>
              <w:t>Quality</w:t>
            </w:r>
          </w:p>
        </w:tc>
        <w:tc>
          <w:tcPr>
            <w:tcW w:type="dxa" w:w="2835"/>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4"/>
              </w:rPr>
              <w:t>Complaint Management Procedure</w:t>
            </w:r>
          </w:p>
        </w:tc>
        <w:tc>
          <w:tcPr>
            <w:tcW w:type="dxa" w:w="1587"/>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4"/>
              </w:rPr>
              <w:t>Procedure</w:t>
            </w:r>
          </w:p>
        </w:tc>
        <w:tc>
          <w:tcPr>
            <w:tcW w:type="dxa" w:w="4309"/>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4"/>
              </w:rPr>
              <w:t>Receive, evaluate, investigate and respond to complaints objectively and promptly.</w:t>
            </w:r>
          </w:p>
        </w:tc>
        <w:tc>
          <w:tcPr>
            <w:tcW w:type="dxa" w:w="2211"/>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4"/>
              </w:rPr>
              <w:t>Quality Manager</w:t>
            </w:r>
          </w:p>
        </w:tc>
        <w:tc>
          <w:tcPr>
            <w:tcW w:type="dxa" w:w="3402"/>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4"/>
              </w:rPr>
              <w:t>Complaint log and response records</w:t>
            </w:r>
          </w:p>
        </w:tc>
      </w:tr>
      <w:tr>
        <w:trPr>
          <w:cantSplit/>
        </w:trPr>
        <w:tc>
          <w:tcPr>
            <w:tcW w:type="dxa" w:w="907"/>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4"/>
              </w:rPr>
              <w:t>DM-034</w:t>
            </w:r>
          </w:p>
        </w:tc>
        <w:tc>
          <w:tcPr>
            <w:tcW w:type="dxa" w:w="1644"/>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4"/>
              </w:rPr>
              <w:t>Quality</w:t>
            </w:r>
          </w:p>
        </w:tc>
        <w:tc>
          <w:tcPr>
            <w:tcW w:type="dxa" w:w="2835"/>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4"/>
              </w:rPr>
              <w:t>Continual Improvement Register</w:t>
            </w:r>
          </w:p>
        </w:tc>
        <w:tc>
          <w:tcPr>
            <w:tcW w:type="dxa" w:w="1587"/>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4"/>
              </w:rPr>
              <w:t>Register</w:t>
            </w:r>
          </w:p>
        </w:tc>
        <w:tc>
          <w:tcPr>
            <w:tcW w:type="dxa" w:w="4309"/>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4"/>
              </w:rPr>
              <w:t>Capture, prioritize and verify improvement opportunities.</w:t>
            </w:r>
          </w:p>
        </w:tc>
        <w:tc>
          <w:tcPr>
            <w:tcW w:type="dxa" w:w="2211"/>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4"/>
              </w:rPr>
              <w:t>Quality Manager</w:t>
            </w:r>
          </w:p>
        </w:tc>
        <w:tc>
          <w:tcPr>
            <w:tcW w:type="dxa" w:w="3402"/>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4"/>
              </w:rPr>
              <w:t>Improvement actions and benefit evidence</w:t>
            </w:r>
          </w:p>
        </w:tc>
      </w:tr>
      <w:tr>
        <w:trPr>
          <w:cantSplit/>
        </w:trPr>
        <w:tc>
          <w:tcPr>
            <w:tcW w:type="dxa" w:w="907"/>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4"/>
              </w:rPr>
              <w:t>DM-035</w:t>
            </w:r>
          </w:p>
        </w:tc>
        <w:tc>
          <w:tcPr>
            <w:tcW w:type="dxa" w:w="1644"/>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4"/>
              </w:rPr>
              <w:t>Quality</w:t>
            </w:r>
          </w:p>
        </w:tc>
        <w:tc>
          <w:tcPr>
            <w:tcW w:type="dxa" w:w="2835"/>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4"/>
              </w:rPr>
              <w:t>Internal Laboratory Audit Procedure</w:t>
            </w:r>
          </w:p>
        </w:tc>
        <w:tc>
          <w:tcPr>
            <w:tcW w:type="dxa" w:w="1587"/>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4"/>
              </w:rPr>
              <w:t>Procedure</w:t>
            </w:r>
          </w:p>
        </w:tc>
        <w:tc>
          <w:tcPr>
            <w:tcW w:type="dxa" w:w="4309"/>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4"/>
              </w:rPr>
              <w:t>Plan, perform and follow up audits based on risk, significance and previous performance.</w:t>
            </w:r>
          </w:p>
        </w:tc>
        <w:tc>
          <w:tcPr>
            <w:tcW w:type="dxa" w:w="2211"/>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4"/>
              </w:rPr>
              <w:t>Lead Internal Auditor</w:t>
            </w:r>
          </w:p>
        </w:tc>
        <w:tc>
          <w:tcPr>
            <w:tcW w:type="dxa" w:w="3402"/>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4"/>
              </w:rPr>
              <w:t>Audit programme, reports and follow-up</w:t>
            </w:r>
          </w:p>
        </w:tc>
      </w:tr>
      <w:tr>
        <w:trPr>
          <w:cantSplit/>
        </w:trPr>
        <w:tc>
          <w:tcPr>
            <w:tcW w:type="dxa" w:w="907"/>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4"/>
              </w:rPr>
              <w:t>DM-036</w:t>
            </w:r>
          </w:p>
        </w:tc>
        <w:tc>
          <w:tcPr>
            <w:tcW w:type="dxa" w:w="1644"/>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4"/>
              </w:rPr>
              <w:t>Quality</w:t>
            </w:r>
          </w:p>
        </w:tc>
        <w:tc>
          <w:tcPr>
            <w:tcW w:type="dxa" w:w="2835"/>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4"/>
              </w:rPr>
              <w:t>Internal Laboratory Audit Checklist &amp; Report</w:t>
            </w:r>
          </w:p>
        </w:tc>
        <w:tc>
          <w:tcPr>
            <w:tcW w:type="dxa" w:w="1587"/>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4"/>
              </w:rPr>
              <w:t>Checklist / Report</w:t>
            </w:r>
          </w:p>
        </w:tc>
        <w:tc>
          <w:tcPr>
            <w:tcW w:type="dxa" w:w="4309"/>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4"/>
              </w:rPr>
              <w:t>Provide structured evidence collection and audit reporting.</w:t>
            </w:r>
          </w:p>
        </w:tc>
        <w:tc>
          <w:tcPr>
            <w:tcW w:type="dxa" w:w="2211"/>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4"/>
              </w:rPr>
              <w:t>Audit Team</w:t>
            </w:r>
          </w:p>
        </w:tc>
        <w:tc>
          <w:tcPr>
            <w:tcW w:type="dxa" w:w="3402"/>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4"/>
              </w:rPr>
              <w:t>Completed audit records</w:t>
            </w:r>
          </w:p>
        </w:tc>
      </w:tr>
      <w:tr>
        <w:trPr>
          <w:cantSplit/>
        </w:trPr>
        <w:tc>
          <w:tcPr>
            <w:tcW w:type="dxa" w:w="907"/>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4"/>
              </w:rPr>
              <w:t>DM-037</w:t>
            </w:r>
          </w:p>
        </w:tc>
        <w:tc>
          <w:tcPr>
            <w:tcW w:type="dxa" w:w="1644"/>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4"/>
              </w:rPr>
              <w:t>Quality</w:t>
            </w:r>
          </w:p>
        </w:tc>
        <w:tc>
          <w:tcPr>
            <w:tcW w:type="dxa" w:w="2835"/>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4"/>
              </w:rPr>
              <w:t>Management Review Procedure</w:t>
            </w:r>
          </w:p>
        </w:tc>
        <w:tc>
          <w:tcPr>
            <w:tcW w:type="dxa" w:w="1587"/>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4"/>
              </w:rPr>
              <w:t>Procedure</w:t>
            </w:r>
          </w:p>
        </w:tc>
        <w:tc>
          <w:tcPr>
            <w:tcW w:type="dxa" w:w="4309"/>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4"/>
              </w:rPr>
              <w:t>Define review inputs, meeting controls, decisions and action follow-up.</w:t>
            </w:r>
          </w:p>
        </w:tc>
        <w:tc>
          <w:tcPr>
            <w:tcW w:type="dxa" w:w="2211"/>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4"/>
              </w:rPr>
              <w:t>Laboratory Director / Quality Manager</w:t>
            </w:r>
          </w:p>
        </w:tc>
        <w:tc>
          <w:tcPr>
            <w:tcW w:type="dxa" w:w="3402"/>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4"/>
              </w:rPr>
              <w:t>Management review package</w:t>
            </w:r>
          </w:p>
        </w:tc>
      </w:tr>
      <w:tr>
        <w:trPr>
          <w:cantSplit/>
        </w:trPr>
        <w:tc>
          <w:tcPr>
            <w:tcW w:type="dxa" w:w="907"/>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4"/>
              </w:rPr>
              <w:t>DM-038</w:t>
            </w:r>
          </w:p>
        </w:tc>
        <w:tc>
          <w:tcPr>
            <w:tcW w:type="dxa" w:w="1644"/>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4"/>
              </w:rPr>
              <w:t>Quality</w:t>
            </w:r>
          </w:p>
        </w:tc>
        <w:tc>
          <w:tcPr>
            <w:tcW w:type="dxa" w:w="2835"/>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4"/>
              </w:rPr>
              <w:t>Management Review Agenda &amp; Minutes</w:t>
            </w:r>
          </w:p>
        </w:tc>
        <w:tc>
          <w:tcPr>
            <w:tcW w:type="dxa" w:w="1587"/>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4"/>
              </w:rPr>
              <w:t>Agenda / Minutes</w:t>
            </w:r>
          </w:p>
        </w:tc>
        <w:tc>
          <w:tcPr>
            <w:tcW w:type="dxa" w:w="4309"/>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4"/>
              </w:rPr>
              <w:t>Record formal review, decisions, resources and improvement actions.</w:t>
            </w:r>
          </w:p>
        </w:tc>
        <w:tc>
          <w:tcPr>
            <w:tcW w:type="dxa" w:w="2211"/>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4"/>
              </w:rPr>
              <w:t>Laboratory Director</w:t>
            </w:r>
          </w:p>
        </w:tc>
        <w:tc>
          <w:tcPr>
            <w:tcW w:type="dxa" w:w="3402"/>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4"/>
              </w:rPr>
              <w:t>Approved minutes and action tracker</w:t>
            </w:r>
          </w:p>
        </w:tc>
      </w:tr>
      <w:tr>
        <w:trPr>
          <w:cantSplit/>
        </w:trPr>
        <w:tc>
          <w:tcPr>
            <w:tcW w:type="dxa" w:w="907"/>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4"/>
              </w:rPr>
              <w:t>DM-039</w:t>
            </w:r>
          </w:p>
        </w:tc>
        <w:tc>
          <w:tcPr>
            <w:tcW w:type="dxa" w:w="1644"/>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4"/>
              </w:rPr>
              <w:t>Continuity</w:t>
            </w:r>
          </w:p>
        </w:tc>
        <w:tc>
          <w:tcPr>
            <w:tcW w:type="dxa" w:w="2835"/>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4"/>
              </w:rPr>
              <w:t>Emergency &amp; Service Continuity Plan</w:t>
            </w:r>
          </w:p>
        </w:tc>
        <w:tc>
          <w:tcPr>
            <w:tcW w:type="dxa" w:w="1587"/>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4"/>
              </w:rPr>
              <w:t>Plan</w:t>
            </w:r>
          </w:p>
        </w:tc>
        <w:tc>
          <w:tcPr>
            <w:tcW w:type="dxa" w:w="4309"/>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4"/>
              </w:rPr>
              <w:t>Maintain essential services and safe communication during disruptions.</w:t>
            </w:r>
          </w:p>
        </w:tc>
        <w:tc>
          <w:tcPr>
            <w:tcW w:type="dxa" w:w="2211"/>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4"/>
              </w:rPr>
              <w:t>Laboratory Director / Section Heads</w:t>
            </w:r>
          </w:p>
        </w:tc>
        <w:tc>
          <w:tcPr>
            <w:tcW w:type="dxa" w:w="3402"/>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4"/>
              </w:rPr>
              <w:t>Continuity tests and incident records</w:t>
            </w:r>
          </w:p>
        </w:tc>
      </w:tr>
      <w:tr>
        <w:trPr>
          <w:cantSplit/>
        </w:trPr>
        <w:tc>
          <w:tcPr>
            <w:tcW w:type="dxa" w:w="907"/>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4"/>
              </w:rPr>
              <w:t>DM-040</w:t>
            </w:r>
          </w:p>
        </w:tc>
        <w:tc>
          <w:tcPr>
            <w:tcW w:type="dxa" w:w="1644"/>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4"/>
              </w:rPr>
              <w:t>POCT (if applicable)</w:t>
            </w:r>
          </w:p>
        </w:tc>
        <w:tc>
          <w:tcPr>
            <w:tcW w:type="dxa" w:w="2835"/>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4"/>
              </w:rPr>
              <w:t>POCT Governance &amp; Oversight Procedure</w:t>
            </w:r>
          </w:p>
        </w:tc>
        <w:tc>
          <w:tcPr>
            <w:tcW w:type="dxa" w:w="1587"/>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4"/>
              </w:rPr>
              <w:t>Procedure</w:t>
            </w:r>
          </w:p>
        </w:tc>
        <w:tc>
          <w:tcPr>
            <w:tcW w:type="dxa" w:w="4309"/>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4"/>
              </w:rPr>
              <w:t>Define responsibility, operator competence, QC, connectivity and oversight for point-of-care testing.</w:t>
            </w:r>
          </w:p>
        </w:tc>
        <w:tc>
          <w:tcPr>
            <w:tcW w:type="dxa" w:w="2211"/>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4"/>
              </w:rPr>
              <w:t>POCT Coordinator / Laboratory Director</w:t>
            </w:r>
          </w:p>
        </w:tc>
        <w:tc>
          <w:tcPr>
            <w:tcW w:type="dxa" w:w="3402"/>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4"/>
              </w:rPr>
              <w:t>POCT governance and monitoring records</w:t>
            </w:r>
          </w:p>
        </w:tc>
      </w:tr>
    </w:tbl>
    <w:p>
      <w:pPr>
        <w:spacing w:after="40"/>
      </w:pPr>
    </w:p>
    <w:p>
      <w:pPr>
        <w:pStyle w:val="Heading1"/>
        <w:spacing w:before="140" w:after="80"/>
        <w:keepNext/>
      </w:pPr>
      <w:r>
        <w:t>4. Implementation Sequence</w:t>
      </w:r>
    </w:p>
    <w:tbl>
      <w:tblPr>
        <w:tblStyle w:val="TableGrid"/>
        <w:tblW w:type="auto" w:w="0"/>
        <w:jc w:val="center"/>
        <w:tblLook w:val="04A0"/>
      </w:tblPr>
      <w:tblGrid>
        <w:gridCol w:w="4762"/>
        <w:gridCol w:w="4762"/>
        <w:gridCol w:w="4762"/>
      </w:tblGrid>
      <w:tr>
        <w:trPr>
          <w:tblHeader w:val="true"/>
          <w:cantSplit/>
        </w:trPr>
        <w:tc>
          <w:tcPr>
            <w:tcW w:type="dxa" w:w="1984"/>
            <w:vAlign w:val="center"/>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D9EAF7" w:val="clear"/>
          </w:tcPr>
          <w:p>
            <w:pPr>
              <w:spacing w:after="0" w:line="240" w:lineRule="auto"/>
            </w:pPr>
            <w:r>
              <w:rPr>
                <w:rFonts w:ascii="Cambria" w:hAnsi="Cambria"/>
                <w:b/>
                <w:i w:val="0"/>
                <w:color w:val="000000"/>
                <w:sz w:val="16"/>
              </w:rPr>
              <w:t>Phase</w:t>
            </w:r>
          </w:p>
        </w:tc>
        <w:tc>
          <w:tcPr>
            <w:tcW w:type="dxa" w:w="5669"/>
            <w:vAlign w:val="center"/>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D9EAF7" w:val="clear"/>
          </w:tcPr>
          <w:p>
            <w:pPr>
              <w:spacing w:after="0" w:line="240" w:lineRule="auto"/>
            </w:pPr>
            <w:r>
              <w:rPr>
                <w:rFonts w:ascii="Cambria" w:hAnsi="Cambria"/>
                <w:b/>
                <w:i w:val="0"/>
                <w:color w:val="000000"/>
                <w:sz w:val="16"/>
              </w:rPr>
              <w:t>Focus</w:t>
            </w:r>
          </w:p>
        </w:tc>
        <w:tc>
          <w:tcPr>
            <w:tcW w:type="dxa" w:w="6520"/>
            <w:vAlign w:val="center"/>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D9EAF7" w:val="clear"/>
          </w:tcPr>
          <w:p>
            <w:pPr>
              <w:spacing w:after="0" w:line="240" w:lineRule="auto"/>
            </w:pPr>
            <w:r>
              <w:rPr>
                <w:rFonts w:ascii="Cambria" w:hAnsi="Cambria"/>
                <w:b/>
                <w:i w:val="0"/>
                <w:color w:val="000000"/>
                <w:sz w:val="16"/>
              </w:rPr>
              <w:t>Recommended output</w:t>
            </w:r>
          </w:p>
        </w:tc>
      </w:tr>
      <w:tr>
        <w:trPr>
          <w:cantSplit/>
        </w:trPr>
        <w:tc>
          <w:tcPr>
            <w:tcW w:type="dxa" w:w="1984"/>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6"/>
              </w:rPr>
              <w:t>1. Governance foundation</w:t>
            </w:r>
          </w:p>
        </w:tc>
        <w:tc>
          <w:tcPr>
            <w:tcW w:type="dxa" w:w="5669"/>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6"/>
              </w:rPr>
              <w:t>Scope, leadership, policy, responsibilities, document control.</w:t>
            </w:r>
          </w:p>
        </w:tc>
        <w:tc>
          <w:tcPr>
            <w:tcW w:type="dxa" w:w="6520"/>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6"/>
              </w:rPr>
              <w:t>Approved LQMS framework and controlled repository.</w:t>
            </w:r>
          </w:p>
        </w:tc>
      </w:tr>
      <w:tr>
        <w:trPr>
          <w:cantSplit/>
        </w:trPr>
        <w:tc>
          <w:tcPr>
            <w:tcW w:type="dxa" w:w="1984"/>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6"/>
              </w:rPr>
              <w:t>2. Resource and technical controls</w:t>
            </w:r>
          </w:p>
        </w:tc>
        <w:tc>
          <w:tcPr>
            <w:tcW w:type="dxa" w:w="5669"/>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6"/>
              </w:rPr>
              <w:t>Personnel, equipment, reagents, facilities, pre/exam/post-examination procedures.</w:t>
            </w:r>
          </w:p>
        </w:tc>
        <w:tc>
          <w:tcPr>
            <w:tcW w:type="dxa" w:w="6520"/>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6"/>
              </w:rPr>
              <w:t>Controlled operational procedures and technical records.</w:t>
            </w:r>
          </w:p>
        </w:tc>
      </w:tr>
      <w:tr>
        <w:trPr>
          <w:cantSplit/>
        </w:trPr>
        <w:tc>
          <w:tcPr>
            <w:tcW w:type="dxa" w:w="1984"/>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6"/>
              </w:rPr>
              <w:t>3. Performance and risk controls</w:t>
            </w:r>
          </w:p>
        </w:tc>
        <w:tc>
          <w:tcPr>
            <w:tcW w:type="dxa" w:w="5669"/>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6"/>
              </w:rPr>
              <w:t>Indicators, risk management, nonconformity, complaints, QC/EQA.</w:t>
            </w:r>
          </w:p>
        </w:tc>
        <w:tc>
          <w:tcPr>
            <w:tcW w:type="dxa" w:w="6520"/>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6"/>
              </w:rPr>
              <w:t>Routine monitoring and issue-management evidence.</w:t>
            </w:r>
          </w:p>
        </w:tc>
      </w:tr>
      <w:tr>
        <w:trPr>
          <w:cantSplit/>
        </w:trPr>
        <w:tc>
          <w:tcPr>
            <w:tcW w:type="dxa" w:w="1984"/>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6"/>
              </w:rPr>
              <w:t>4. Assurance and review</w:t>
            </w:r>
          </w:p>
        </w:tc>
        <w:tc>
          <w:tcPr>
            <w:tcW w:type="dxa" w:w="5669"/>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6"/>
              </w:rPr>
              <w:t>Internal audit, management review, improvement, accreditation readiness.</w:t>
            </w:r>
          </w:p>
        </w:tc>
        <w:tc>
          <w:tcPr>
            <w:tcW w:type="dxa" w:w="6520"/>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6"/>
              </w:rPr>
              <w:t>Closed findings, review decisions and sustained evidence.</w:t>
            </w:r>
          </w:p>
        </w:tc>
      </w:tr>
    </w:tbl>
    <w:p>
      <w:pPr>
        <w:spacing w:after="40"/>
      </w:pPr>
    </w:p>
    <w:p>
      <w:pPr>
        <w:pStyle w:val="Heading1"/>
        <w:spacing w:before="140" w:after="80"/>
        <w:keepNext/>
      </w:pPr>
      <w:r>
        <w:t>5. Document Control Conventions</w:t>
      </w:r>
    </w:p>
    <w:p>
      <w:pPr>
        <w:pStyle w:val="ListBullet"/>
        <w:spacing w:after="40"/>
        <w:ind w:left="283" w:hanging="142"/>
      </w:pPr>
      <w:r>
        <w:rPr>
          <w:rFonts w:ascii="Cambria" w:hAnsi="Cambria"/>
          <w:b w:val="0"/>
          <w:i w:val="0"/>
          <w:color w:val="000000"/>
          <w:sz w:val="20"/>
        </w:rPr>
        <w:t>Each controlled document should have a unique identifier, title, owner, version, effective date and approval status.</w:t>
      </w:r>
    </w:p>
    <w:p>
      <w:pPr>
        <w:pStyle w:val="ListBullet"/>
        <w:spacing w:after="40"/>
        <w:ind w:left="283" w:hanging="142"/>
      </w:pPr>
      <w:r>
        <w:rPr>
          <w:rFonts w:ascii="Cambria" w:hAnsi="Cambria"/>
          <w:b w:val="0"/>
          <w:i w:val="0"/>
          <w:color w:val="000000"/>
          <w:sz w:val="20"/>
        </w:rPr>
        <w:t>Obsolete versions should be prevented from unintended use while retained records remain retrievable for their defined retention period.</w:t>
      </w:r>
    </w:p>
    <w:p>
      <w:pPr>
        <w:pStyle w:val="ListBullet"/>
        <w:spacing w:after="40"/>
        <w:ind w:left="283" w:hanging="142"/>
      </w:pPr>
      <w:r>
        <w:rPr>
          <w:rFonts w:ascii="Cambria" w:hAnsi="Cambria"/>
          <w:b w:val="0"/>
          <w:i w:val="0"/>
          <w:color w:val="000000"/>
          <w:sz w:val="20"/>
        </w:rPr>
        <w:t>External documents that influence laboratory work should be identified and controlled at the point of use.</w:t>
      </w:r>
    </w:p>
    <w:p>
      <w:pPr>
        <w:pStyle w:val="ListBullet"/>
        <w:spacing w:after="40"/>
        <w:ind w:left="283" w:hanging="142"/>
      </w:pPr>
      <w:r>
        <w:rPr>
          <w:rFonts w:ascii="Cambria" w:hAnsi="Cambria"/>
          <w:b w:val="0"/>
          <w:i w:val="0"/>
          <w:color w:val="000000"/>
          <w:sz w:val="20"/>
        </w:rPr>
        <w:t>Records should be legible, attributable, protected from unauthorized alteration and retrievable for investigation, audit and patient-safety needs.</w:t>
      </w:r>
    </w:p>
    <w:p>
      <w:pPr>
        <w:pStyle w:val="ListBullet"/>
        <w:spacing w:after="40"/>
        <w:ind w:left="283" w:hanging="142"/>
      </w:pPr>
      <w:r>
        <w:rPr>
          <w:rFonts w:ascii="Cambria" w:hAnsi="Cambria"/>
          <w:b w:val="0"/>
          <w:i w:val="0"/>
          <w:color w:val="000000"/>
          <w:sz w:val="20"/>
        </w:rPr>
        <w:t>Electronic systems should preserve access control, traceability and appropriate audit trails.</w:t>
      </w:r>
    </w:p>
    <w:p>
      <w:pPr>
        <w:pStyle w:val="Heading1"/>
        <w:spacing w:before="140" w:after="80"/>
        <w:keepNext/>
      </w:pPr>
      <w:r>
        <w:t>References</w:t>
      </w:r>
    </w:p>
    <w:tbl>
      <w:tblPr>
        <w:tblStyle w:val="TableGrid"/>
        <w:tblW w:type="auto" w:w="0"/>
        <w:jc w:val="center"/>
        <w:tblLook w:val="04A0"/>
      </w:tblPr>
      <w:tblGrid>
        <w:gridCol w:w="4762"/>
        <w:gridCol w:w="4762"/>
        <w:gridCol w:w="4762"/>
      </w:tblGrid>
      <w:tr>
        <w:trPr>
          <w:tblHeader w:val="true"/>
          <w:cantSplit/>
        </w:trPr>
        <w:tc>
          <w:tcPr>
            <w:tcW w:type="dxa" w:w="1928"/>
            <w:vAlign w:val="center"/>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D9EAF7" w:val="clear"/>
          </w:tcPr>
          <w:p>
            <w:pPr>
              <w:spacing w:after="0" w:line="240" w:lineRule="auto"/>
            </w:pPr>
            <w:r>
              <w:rPr>
                <w:rFonts w:ascii="Cambria" w:hAnsi="Cambria"/>
                <w:b/>
                <w:i w:val="0"/>
                <w:color w:val="000000"/>
                <w:sz w:val="16"/>
              </w:rPr>
              <w:t>Reference</w:t>
            </w:r>
          </w:p>
        </w:tc>
        <w:tc>
          <w:tcPr>
            <w:tcW w:type="dxa" w:w="5216"/>
            <w:vAlign w:val="center"/>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D9EAF7" w:val="clear"/>
          </w:tcPr>
          <w:p>
            <w:pPr>
              <w:spacing w:after="0" w:line="240" w:lineRule="auto"/>
            </w:pPr>
            <w:r>
              <w:rPr>
                <w:rFonts w:ascii="Cambria" w:hAnsi="Cambria"/>
                <w:b/>
                <w:i w:val="0"/>
                <w:color w:val="000000"/>
                <w:sz w:val="16"/>
              </w:rPr>
              <w:t>Title</w:t>
            </w:r>
          </w:p>
        </w:tc>
        <w:tc>
          <w:tcPr>
            <w:tcW w:type="dxa" w:w="3515"/>
            <w:vAlign w:val="center"/>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D9EAF7" w:val="clear"/>
          </w:tcPr>
          <w:p>
            <w:pPr>
              <w:spacing w:after="0" w:line="240" w:lineRule="auto"/>
            </w:pPr>
            <w:r>
              <w:rPr>
                <w:rFonts w:ascii="Cambria" w:hAnsi="Cambria"/>
                <w:b/>
                <w:i w:val="0"/>
                <w:color w:val="000000"/>
                <w:sz w:val="16"/>
              </w:rPr>
              <w:t>Official source</w:t>
            </w:r>
          </w:p>
        </w:tc>
      </w:tr>
      <w:tr>
        <w:trPr>
          <w:cantSplit/>
        </w:trPr>
        <w:tc>
          <w:tcPr>
            <w:tcW w:type="dxa" w:w="1928"/>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6"/>
              </w:rPr>
              <w:t>ISO 15189:2022</w:t>
            </w:r>
          </w:p>
        </w:tc>
        <w:tc>
          <w:tcPr>
            <w:tcW w:type="dxa" w:w="5216"/>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6"/>
              </w:rPr>
              <w:t>Medical laboratories — Requirements for quality and competence</w:t>
            </w:r>
          </w:p>
        </w:tc>
        <w:tc>
          <w:tcPr>
            <w:tcW w:type="dxa" w:w="3515"/>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6"/>
              </w:rPr>
              <w:t>https://www.iso.org/standard/76677.html</w:t>
            </w:r>
          </w:p>
        </w:tc>
      </w:tr>
      <w:tr>
        <w:trPr>
          <w:cantSplit/>
        </w:trPr>
        <w:tc>
          <w:tcPr>
            <w:tcW w:type="dxa" w:w="1928"/>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6"/>
              </w:rPr>
              <w:t>ISO 20658:2023</w:t>
            </w:r>
          </w:p>
        </w:tc>
        <w:tc>
          <w:tcPr>
            <w:tcW w:type="dxa" w:w="5216"/>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6"/>
              </w:rPr>
              <w:t>Requirements for the collection and transport of samples for medical laboratory examinations</w:t>
            </w:r>
          </w:p>
        </w:tc>
        <w:tc>
          <w:tcPr>
            <w:tcW w:type="dxa" w:w="3515"/>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6"/>
              </w:rPr>
              <w:t>https://www.iso.org/standard/80035.html</w:t>
            </w:r>
          </w:p>
        </w:tc>
      </w:tr>
      <w:tr>
        <w:trPr>
          <w:cantSplit/>
        </w:trPr>
        <w:tc>
          <w:tcPr>
            <w:tcW w:type="dxa" w:w="1928"/>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6"/>
              </w:rPr>
              <w:t>ISO 22367:2026</w:t>
            </w:r>
          </w:p>
        </w:tc>
        <w:tc>
          <w:tcPr>
            <w:tcW w:type="dxa" w:w="5216"/>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6"/>
              </w:rPr>
              <w:t>Medical laboratories — Application of risk management to medical laboratories</w:t>
            </w:r>
          </w:p>
        </w:tc>
        <w:tc>
          <w:tcPr>
            <w:tcW w:type="dxa" w:w="3515"/>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6"/>
              </w:rPr>
              <w:t>https://www.iso.org/standard/87738.html</w:t>
            </w:r>
          </w:p>
        </w:tc>
      </w:tr>
    </w:tbl>
    <w:p>
      <w:pPr>
        <w:spacing w:after="40"/>
      </w:pPr>
    </w:p>
    <w:tbl>
      <w:tblPr>
        <w:tblW w:type="auto" w:w="0"/>
        <w:jc w:val="center"/>
        <w:tblLook w:val="04A0"/>
      </w:tblPr>
      <w:tblGrid>
        <w:gridCol w:w="14287"/>
      </w:tblGrid>
      <w:tr>
        <w:trPr>
          <w:cantSplit/>
        </w:trPr>
        <w:tc>
          <w:tcPr>
            <w:tcW w:type="dxa" w:w="14287"/>
            <w:tcBorders>
              <w:top w:val="single" w:sz="4" w:space="0" w:color="D6B656"/>
              <w:left w:val="single" w:sz="4" w:space="0" w:color="D6B656"/>
              <w:bottom w:val="single" w:sz="4" w:space="0" w:color="D6B656"/>
              <w:right w:val="single" w:sz="4" w:space="0" w:color="D6B656"/>
              <w:insideH w:val="single" w:sz="4" w:space="0" w:color="D6B656"/>
              <w:insideV w:val="single" w:sz="4" w:space="0" w:color="D6B656"/>
            </w:tcBorders>
            <w:shd w:fill="FFF2CC" w:val="clear"/>
            <w:tcMar>
              <w:top w:w="80" w:type="dxa"/>
              <w:left w:w="110" w:type="dxa"/>
              <w:bottom w:w="80" w:type="dxa"/>
              <w:right w:w="110" w:type="dxa"/>
            </w:tcMar>
          </w:tcPr>
          <w:p>
            <w:pPr>
              <w:spacing w:after="0"/>
            </w:pPr>
            <w:r>
              <w:rPr>
                <w:rFonts w:ascii="Cambria" w:hAnsi="Cambria"/>
                <w:b w:val="0"/>
                <w:i/>
                <w:color w:val="C00000"/>
                <w:sz w:val="18"/>
              </w:rPr>
              <w:t>[Note] Use the organization’s authorized copy of the applicable standard as the definitive reference. This document paraphrases requirements and does not reproduce the standard text.</w:t>
            </w:r>
          </w:p>
        </w:tc>
      </w:tr>
    </w:tbl>
    <w:p>
      <w:pPr>
        <w:spacing w:after="20"/>
      </w:pPr>
    </w:p>
    <w:p>
      <w:pPr>
        <w:pStyle w:val="Heading1"/>
        <w:spacing w:before="140" w:after="80"/>
        <w:keepNext/>
      </w:pPr>
      <w:r>
        <w:t>Revision and Approval</w:t>
      </w:r>
    </w:p>
    <w:tbl>
      <w:tblPr>
        <w:tblStyle w:val="TableGrid"/>
        <w:tblW w:type="auto" w:w="0"/>
        <w:jc w:val="center"/>
        <w:tblLook w:val="04A0"/>
      </w:tblPr>
      <w:tblGrid>
        <w:gridCol w:w="3572"/>
        <w:gridCol w:w="3572"/>
        <w:gridCol w:w="3572"/>
        <w:gridCol w:w="3572"/>
      </w:tblGrid>
      <w:tr>
        <w:trPr>
          <w:tblHeader w:val="true"/>
          <w:cantSplit/>
        </w:trPr>
        <w:tc>
          <w:tcPr>
            <w:tcW w:type="dxa" w:w="3572"/>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D9EAF7" w:val="clear"/>
            <w:tcMar>
              <w:top w:w="70" w:type="dxa"/>
              <w:left w:w="80" w:type="dxa"/>
              <w:bottom w:w="70" w:type="dxa"/>
              <w:right w:w="80" w:type="dxa"/>
            </w:tcMar>
            <w:vAlign w:val="center"/>
          </w:tcPr>
          <w:p>
            <w:pPr>
              <w:spacing w:after="0" w:line="240" w:lineRule="auto"/>
            </w:pPr>
            <w:r>
              <w:rPr>
                <w:rFonts w:ascii="Cambria" w:hAnsi="Cambria"/>
                <w:b/>
                <w:i w:val="0"/>
                <w:color w:val="000000"/>
                <w:sz w:val="17"/>
              </w:rPr>
              <w:t>Version</w:t>
            </w:r>
          </w:p>
        </w:tc>
        <w:tc>
          <w:tcPr>
            <w:tcW w:type="dxa" w:w="3572"/>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D9EAF7" w:val="clear"/>
            <w:tcMar>
              <w:top w:w="70" w:type="dxa"/>
              <w:left w:w="80" w:type="dxa"/>
              <w:bottom w:w="70" w:type="dxa"/>
              <w:right w:w="80" w:type="dxa"/>
            </w:tcMar>
            <w:vAlign w:val="center"/>
          </w:tcPr>
          <w:p>
            <w:pPr>
              <w:spacing w:after="0" w:line="240" w:lineRule="auto"/>
            </w:pPr>
            <w:r>
              <w:rPr>
                <w:rFonts w:ascii="Cambria" w:hAnsi="Cambria"/>
                <w:b/>
                <w:i w:val="0"/>
                <w:color w:val="000000"/>
                <w:sz w:val="17"/>
              </w:rPr>
              <w:t>Date</w:t>
            </w:r>
          </w:p>
        </w:tc>
        <w:tc>
          <w:tcPr>
            <w:tcW w:type="dxa" w:w="3572"/>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D9EAF7" w:val="clear"/>
            <w:tcMar>
              <w:top w:w="70" w:type="dxa"/>
              <w:left w:w="80" w:type="dxa"/>
              <w:bottom w:w="70" w:type="dxa"/>
              <w:right w:w="80" w:type="dxa"/>
            </w:tcMar>
            <w:vAlign w:val="center"/>
          </w:tcPr>
          <w:p>
            <w:pPr>
              <w:spacing w:after="0" w:line="240" w:lineRule="auto"/>
            </w:pPr>
            <w:r>
              <w:rPr>
                <w:rFonts w:ascii="Cambria" w:hAnsi="Cambria"/>
                <w:b/>
                <w:i w:val="0"/>
                <w:color w:val="000000"/>
                <w:sz w:val="17"/>
              </w:rPr>
              <w:t>Description</w:t>
            </w:r>
          </w:p>
        </w:tc>
        <w:tc>
          <w:tcPr>
            <w:tcW w:type="dxa" w:w="3572"/>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D9EAF7" w:val="clear"/>
            <w:tcMar>
              <w:top w:w="70" w:type="dxa"/>
              <w:left w:w="80" w:type="dxa"/>
              <w:bottom w:w="70" w:type="dxa"/>
              <w:right w:w="80" w:type="dxa"/>
            </w:tcMar>
            <w:vAlign w:val="center"/>
          </w:tcPr>
          <w:p>
            <w:pPr>
              <w:spacing w:after="0" w:line="240" w:lineRule="auto"/>
            </w:pPr>
            <w:r>
              <w:rPr>
                <w:rFonts w:ascii="Cambria" w:hAnsi="Cambria"/>
                <w:b/>
                <w:i w:val="0"/>
                <w:color w:val="000000"/>
                <w:sz w:val="17"/>
              </w:rPr>
              <w:t>Approval Status</w:t>
            </w:r>
          </w:p>
        </w:tc>
      </w:tr>
      <w:tr>
        <w:trPr>
          <w:cantSplit/>
        </w:trPr>
        <w:tc>
          <w:tcPr>
            <w:tcW w:type="dxa" w:w="3572"/>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7"/>
              </w:rPr>
              <w:t>1.0</w:t>
            </w:r>
          </w:p>
        </w:tc>
        <w:tc>
          <w:tcPr>
            <w:tcW w:type="dxa" w:w="3572"/>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7"/>
              </w:rPr>
              <w:t>2026-09-19</w:t>
            </w:r>
          </w:p>
        </w:tc>
        <w:tc>
          <w:tcPr>
            <w:tcW w:type="dxa" w:w="3572"/>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7"/>
              </w:rPr>
              <w:t>Initial issue</w:t>
            </w:r>
          </w:p>
        </w:tc>
        <w:tc>
          <w:tcPr>
            <w:tcW w:type="dxa" w:w="3572"/>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7"/>
              </w:rPr>
              <w:t>Approved / [STATUS]</w:t>
            </w:r>
          </w:p>
        </w:tc>
      </w:tr>
      <w:tr>
        <w:trPr>
          <w:cantSplit/>
        </w:trPr>
        <w:tc>
          <w:tcPr>
            <w:tcW w:type="dxa" w:w="3572"/>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Mar>
              <w:top w:w="70" w:type="dxa"/>
              <w:left w:w="80" w:type="dxa"/>
              <w:bottom w:w="70" w:type="dxa"/>
              <w:right w:w="80" w:type="dxa"/>
            </w:tcMar>
            <w:vAlign w:val="top"/>
          </w:tcPr>
          <w:p>
            <w:pPr>
              <w:spacing w:after="0" w:line="240" w:lineRule="auto"/>
            </w:pPr>
            <w:r>
              <w:rPr>
                <w:rFonts w:ascii="Cambria" w:hAnsi="Cambria"/>
                <w:b w:val="0"/>
                <w:i w:val="0"/>
                <w:color w:val="000000"/>
                <w:sz w:val="17"/>
              </w:rPr>
              <w:t>Prepared by</w:t>
            </w:r>
          </w:p>
        </w:tc>
        <w:tc>
          <w:tcPr>
            <w:tcW w:type="dxa" w:w="3572"/>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Mar>
              <w:top w:w="70" w:type="dxa"/>
              <w:left w:w="80" w:type="dxa"/>
              <w:bottom w:w="70" w:type="dxa"/>
              <w:right w:w="80" w:type="dxa"/>
            </w:tcMar>
            <w:vAlign w:val="top"/>
          </w:tcPr>
          <w:p>
            <w:pPr>
              <w:spacing w:after="0" w:line="240" w:lineRule="auto"/>
            </w:pPr>
            <w:r>
              <w:rPr>
                <w:rFonts w:ascii="Cambria" w:hAnsi="Cambria"/>
                <w:b w:val="0"/>
                <w:i w:val="0"/>
                <w:color w:val="000000"/>
                <w:sz w:val="17"/>
              </w:rPr>
              <w:t>Reviewed by</w:t>
            </w:r>
          </w:p>
        </w:tc>
        <w:tc>
          <w:tcPr>
            <w:tcW w:type="dxa" w:w="3572"/>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Mar>
              <w:top w:w="70" w:type="dxa"/>
              <w:left w:w="80" w:type="dxa"/>
              <w:bottom w:w="70" w:type="dxa"/>
              <w:right w:w="80" w:type="dxa"/>
            </w:tcMar>
            <w:vAlign w:val="top"/>
          </w:tcPr>
          <w:p>
            <w:pPr>
              <w:spacing w:after="0" w:line="240" w:lineRule="auto"/>
            </w:pPr>
            <w:r>
              <w:rPr>
                <w:rFonts w:ascii="Cambria" w:hAnsi="Cambria"/>
                <w:b w:val="0"/>
                <w:i w:val="0"/>
                <w:color w:val="000000"/>
                <w:sz w:val="17"/>
              </w:rPr>
              <w:t>Approved by</w:t>
            </w:r>
          </w:p>
        </w:tc>
        <w:tc>
          <w:tcPr>
            <w:tcW w:type="dxa" w:w="3572"/>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Mar>
              <w:top w:w="70" w:type="dxa"/>
              <w:left w:w="80" w:type="dxa"/>
              <w:bottom w:w="70" w:type="dxa"/>
              <w:right w:w="80" w:type="dxa"/>
            </w:tcMar>
            <w:vAlign w:val="top"/>
          </w:tcPr>
          <w:p>
            <w:pPr>
              <w:spacing w:after="0" w:line="240" w:lineRule="auto"/>
            </w:pPr>
            <w:r>
              <w:rPr>
                <w:rFonts w:ascii="Cambria" w:hAnsi="Cambria"/>
                <w:b w:val="0"/>
                <w:i w:val="0"/>
                <w:color w:val="000000"/>
                <w:sz w:val="17"/>
              </w:rPr>
              <w:t>Approval Date</w:t>
            </w:r>
          </w:p>
        </w:tc>
      </w:tr>
      <w:tr>
        <w:trPr>
          <w:cantSplit/>
        </w:trPr>
        <w:tc>
          <w:tcPr>
            <w:tcW w:type="dxa" w:w="3572"/>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7"/>
              </w:rPr>
              <w:t>[DOCUMENT OWNER]</w:t>
            </w:r>
          </w:p>
        </w:tc>
        <w:tc>
          <w:tcPr>
            <w:tcW w:type="dxa" w:w="3572"/>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7"/>
              </w:rPr>
              <w:t>[REVIEWER]</w:t>
            </w:r>
          </w:p>
        </w:tc>
        <w:tc>
          <w:tcPr>
            <w:tcW w:type="dxa" w:w="3572"/>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7"/>
              </w:rPr>
              <w:t>[APPROVER]</w:t>
            </w:r>
          </w:p>
        </w:tc>
        <w:tc>
          <w:tcPr>
            <w:tcW w:type="dxa" w:w="3572"/>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7"/>
              </w:rPr>
              <w:t>[DATE]</w:t>
            </w:r>
          </w:p>
        </w:tc>
      </w:tr>
    </w:tbl>
    <w:sectPr w:rsidR="00FC693F" w:rsidRPr="0006063C" w:rsidSect="00034616">
      <w:headerReference w:type="default" r:id="rId9"/>
      <w:footerReference w:type="default" r:id="rId10"/>
      <w:pgSz w:w="16838" w:h="11906" w:orient="landscape"/>
      <w:pgMar w:top="1134" w:right="1134" w:bottom="1134" w:left="1417"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http://schemas.openxmlformats.org/wordprocessingml/2006/main" xmlns:wne="http://schemas.microsoft.com/office/word/2006/wordml"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p>
    <w:pPr>
      <w:pStyle w:val="Footer"/>
      <w:jc w:val="center"/>
    </w:pPr>
    <w:r>
      <w:rPr>
        <w:rFonts w:ascii="Cambria" w:hAnsi="Cambria"/>
        <w:b w:val="0"/>
        <w:i w:val="0"/>
        <w:color w:val="666666"/>
        <w:sz w:val="16"/>
      </w:rPr>
      <w:t>ISO TOOLKITS DOCUMENT | www.iso-toolkits.org | info@iso-toolkits.org | INTERNAL</w:t>
    </w:r>
  </w:p>
  <w:p>
    <w:pPr>
      <w:jc w:val="center"/>
    </w:pPr>
    <w:r>
      <w:rPr>
        <w:rFonts w:ascii="Cambria" w:hAnsi="Cambria"/>
        <w:color w:val="666666"/>
        <w:sz w:val="16"/>
      </w:rPr>
      <w:t xml:space="preserve">Page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http://schemas.openxmlformats.org/wordprocessingml/2006/main" xmlns:wne="http://schemas.microsoft.com/office/word/2006/wordml"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p>
    <w:pPr>
      <w:pStyle w:val="Header"/>
    </w:pPr>
  </w:p>
  <w:tbl>
    <w:tblPr>
      <w:tblW w:type="auto" w:w="0"/>
      <w:jc w:val="center"/>
      <w:tblLook w:val="04A0"/>
    </w:tblPr>
    <w:tblGrid>
      <w:gridCol w:w="4762"/>
      <w:gridCol w:w="4762"/>
      <w:gridCol w:w="4762"/>
    </w:tblGrid>
    <w:tr>
      <w:tc>
        <w:tcPr>
          <w:tcW w:type="dxa" w:w="158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40" w:type="dxa"/>
            <w:left w:w="50" w:type="dxa"/>
            <w:bottom w:w="40" w:type="dxa"/>
            <w:right w:w="50" w:type="dxa"/>
          </w:tcMar>
        </w:tcPr>
        <w:p>
          <w:pPr>
            <w:jc w:val="center"/>
          </w:pPr>
          <w:r>
            <w:rPr>
              <w:rFonts w:ascii="Cambria" w:hAnsi="Cambria"/>
              <w:b w:val="0"/>
              <w:i w:val="0"/>
              <w:color w:val="000000"/>
              <w:sz w:val="16"/>
            </w:rPr>
            <w:t>ORGANIZATION</w:t>
            <w:br/>
            <w:t>LOGO</w:t>
          </w:r>
        </w:p>
      </w:tc>
      <w:tc>
        <w:tcPr>
          <w:tcW w:type="dxa" w:w="65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40" w:type="dxa"/>
            <w:left w:w="50" w:type="dxa"/>
            <w:bottom w:w="40" w:type="dxa"/>
            <w:right w:w="50" w:type="dxa"/>
          </w:tcMar>
        </w:tcPr>
        <w:p>
          <w:pPr>
            <w:jc w:val="center"/>
          </w:pPr>
          <w:r>
            <w:rPr>
              <w:rFonts w:ascii="Cambria" w:hAnsi="Cambria"/>
              <w:b/>
              <w:i w:val="0"/>
              <w:color w:val="1F4E79"/>
              <w:sz w:val="16"/>
            </w:rPr>
            <w:t>[ORGANIZATION NAME]</w:t>
            <w:br/>
            <w:t>LQMS Document Map</w:t>
          </w:r>
        </w:p>
      </w:tc>
      <w:tc>
        <w:tcPr>
          <w:tcW w:type="dxa" w:w="283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40" w:type="dxa"/>
            <w:left w:w="50" w:type="dxa"/>
            <w:bottom w:w="40" w:type="dxa"/>
            <w:right w:w="50" w:type="dxa"/>
          </w:tcMar>
        </w:tcPr>
        <w:p>
          <w:pPr>
            <w:jc w:val="center"/>
          </w:pPr>
          <w:r>
            <w:rPr>
              <w:rFonts w:ascii="Cambria" w:hAnsi="Cambria"/>
              <w:b w:val="0"/>
              <w:i w:val="0"/>
              <w:color w:val="000000"/>
              <w:sz w:val="16"/>
            </w:rPr>
            <w:t>LQMS-MAT-001</w:t>
            <w:br/>
            <w:t>Version 1.0</w:t>
            <w:br/>
            <w:t>2026-09-19</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pg="http://schemas.microsoft.com/office/word/2010/wordprocessingGroup" xmlns:wpi="http://schemas.microsoft.com/office/word/2010/wordprocessingInk" xmlns:wne="http://schemas.microsoft.com/office/word/2006/wordml" xmlns:wps="http://schemas.microsoft.com/office/word/2010/wordprocessingShape">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Cambria" w:hAnsi="Cambria"/>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Cambria" w:hAnsi="Cambria"/>
      <w:b/>
      <w:bCs/>
      <w:color w:val="1F4E79"/>
      <w:sz w:val="26"/>
      <w:szCs w:val="28"/>
    </w:rPr>
  </w:style>
  <w:style w:type="paragraph" w:styleId="Heading2">
    <w:name w:val="heading 2"/>
    <w:basedOn w:val="Normal"/>
    <w:next w:val="Normal"/>
    <w:link w:val="Heading2Char"/>
    <w:uiPriority w:val="9"/>
    <w:unhideWhenUsed/>
    <w:qFormat/>
    <w:rsid w:val="00FC693F"/>
    <w:pPr>
      <w:keepNext/>
      <w:keepLines/>
      <w:spacing w:before="120" w:after="60"/>
      <w:outlineLvl w:val="1"/>
    </w:pPr>
    <w:rPr>
      <w:rFonts w:asciiTheme="majorHAnsi" w:eastAsiaTheme="majorEastAsia" w:hAnsiTheme="majorHAnsi" w:cstheme="majorBidi" w:ascii="Cambria" w:hAnsi="Cambria"/>
      <w:b/>
      <w:bCs/>
      <w:color w:val="1F4E79"/>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Cambria" w:hAnsi="Cambria"/>
      <w:sz w:val="2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rFonts w:ascii="Cambria" w:hAnsi="Cambria"/>
      <w:sz w:val="20"/>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pg="http://schemas.microsoft.com/office/word/2010/wordprocessingGroup" xmlns:wpi="http://schemas.microsoft.com/office/word/2010/wordprocessingInk" xmlns:wne="http://schemas.microsoft.com/office/word/2006/wordml" xmlns:wps="http://schemas.microsoft.com/office/word/2010/wordprocessingShap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LQMS Document Map</dc:title>
  <dc:subject>ISO 15189:2022 — Medical laboratories — Requirements for quality and competence toolkit document</dc:subject>
  <dc:creator>ISO Toolkits</dc:creator>
  <cp:keywords>ISO 15189, medical laboratory, LQMS, quality, competence, accreditation</cp:keywords>
  <dc:description>Professional ISO 15189 toolkit document. Website: www.iso-toolkits.org; Email: info@iso-toolkits.org</dc:description>
  <cp:lastModifiedBy/>
  <cp:revision>1</cp:revision>
  <dcterms:created xsi:type="dcterms:W3CDTF">2013-12-23T23:15:00Z</dcterms:created>
  <dcterms:modified xsi:type="dcterms:W3CDTF">2013-12-23T23:15:00Z</dcterms:modified>
  <cp:category/>
</cp:coreProperties>
</file>