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480" w:after="160"/>
        <w:jc w:val="center"/>
      </w:pPr>
      <w:r>
        <w:rPr>
          <w:rFonts w:ascii="Cambria" w:hAnsi="Cambria" w:eastAsia="Cambria"/>
          <w:b/>
          <w:i w:val="0"/>
          <w:color w:val="1F4E79"/>
          <w:sz w:val="40"/>
        </w:rPr>
        <w:t>Internal Laboratory Audit Report</w:t>
      </w:r>
    </w:p>
    <w:p>
      <w:pPr>
        <w:spacing w:after="360"/>
        <w:jc w:val="center"/>
      </w:pPr>
      <w:r>
        <w:rPr>
          <w:rFonts w:ascii="Cambria" w:hAnsi="Cambria" w:eastAsia="Cambria"/>
          <w:b/>
          <w:i w:val="0"/>
          <w:color w:val="000000"/>
          <w:sz w:val="22"/>
        </w:rPr>
        <w:t>ISO 15189:2022 | Audit Report</w:t>
      </w:r>
    </w:p>
    <w:tbl>
      <w:tblPr>
        <w:tblStyle w:val="TableGrid"/>
        <w:tblW w:type="auto" w:w="0"/>
        <w:jc w:val="center"/>
        <w:tblLook w:val="04A0"/>
      </w:tblPr>
      <w:tblGrid>
        <w:gridCol w:w="2339"/>
        <w:gridCol w:w="2339"/>
        <w:gridCol w:w="2339"/>
        <w:gridCol w:w="2339"/>
      </w:tblGrid>
      <w:tr>
        <w:trPr>
          <w:tblHeader w:val="true"/>
        </w:trPr>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Code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LQMS-RPT-001</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Version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Effective Date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2026-09-19</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Classification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INTERNAL</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Owner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[QUALITY MANAGER]</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Approver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[LABORATORY DIRECTOR]</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Review Cycle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[ANNUAL / UPON CHANGE]</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 DATE]</w:t>
            </w:r>
          </w:p>
        </w:tc>
      </w:tr>
    </w:tbl>
    <w:p>
      <w:pPr>
        <w:spacing w:before="0" w:after="0" w:line="252" w:lineRule="auto"/>
      </w:pP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Replace organization-specific placeholders before controlled release.</w:t>
            </w:r>
          </w:p>
        </w:tc>
      </w:tr>
    </w:tbl>
    <w:p>
      <w:pPr>
        <w:jc w:val="center"/>
      </w:pPr>
      <w:r>
        <w:rPr>
          <w:rFonts w:ascii="Cambria" w:hAnsi="Cambria" w:eastAsia="Cambria"/>
          <w:b/>
          <w:i w:val="0"/>
          <w:color w:val="666666"/>
          <w:sz w:val="17"/>
        </w:rPr>
        <w:t>ISO TOOLKITS DOCUMENT</w:t>
      </w:r>
    </w:p>
    <w:p>
      <w:pPr>
        <w:jc w:val="center"/>
      </w:pPr>
      <w:r>
        <w:rPr>
          <w:rFonts w:ascii="Calibri" w:hAnsi="Calibri" w:eastAsia="Calibri"/>
          <w:b w:val="0"/>
          <w:i w:val="0"/>
          <w:color w:val="666666"/>
          <w:sz w:val="17"/>
        </w:rPr>
        <w:t>www.iso-toolkits.org | info@iso-toolkits.org</w:t>
      </w:r>
    </w:p>
    <w:p>
      <w:r>
        <w:br w:type="page"/>
      </w:r>
    </w:p>
    <w:p>
      <w:pPr>
        <w:keepNext/>
        <w:spacing w:before="180" w:after="80"/>
        <w:pBdr>
          <w:bottom w:val="single" w:sz="8" w:space="2" w:color="D9EAF7"/>
        </w:pBdr>
      </w:pPr>
      <w:r>
        <w:rPr>
          <w:rFonts w:ascii="Cambria" w:hAnsi="Cambria" w:eastAsia="Cambria"/>
          <w:b/>
          <w:i w:val="0"/>
          <w:color w:val="000000"/>
          <w:sz w:val="25"/>
        </w:rPr>
        <w:t>1. Report Identification</w:t>
      </w:r>
    </w:p>
    <w:tbl>
      <w:tblPr>
        <w:tblStyle w:val="TableGrid"/>
        <w:tblW w:type="auto" w:w="0"/>
        <w:jc w:val="center"/>
        <w:tblLook w:val="04A0"/>
      </w:tblPr>
      <w:tblGrid>
        <w:gridCol w:w="2339"/>
        <w:gridCol w:w="2339"/>
        <w:gridCol w:w="2339"/>
        <w:gridCol w:w="2339"/>
      </w:tblGrid>
      <w:tr>
        <w:trPr>
          <w:tblHeader w:val="true"/>
        </w:trPr>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Entry</w:t>
            </w:r>
          </w:p>
        </w:tc>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Entry</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Audit ID</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[AUDIT ID]</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Report Date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[DATE]</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Laboratory / Site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[LABORATORY / SITE]</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Audit Type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[FULL / PROCESS / FOLLOW-UP]</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Audit Scope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[SCOPE]</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Audit Criteria</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ISO 15189:2022; applicable laboratory procedures and requirements</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Lead Auditor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[NAME / ROLE]</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Audit Team</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[NAMES / ROLES]</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2. Audit Objective and Scope</w:t>
      </w:r>
    </w:p>
    <w:p>
      <w:pPr>
        <w:spacing w:before="0" w:after="80" w:line="252" w:lineRule="auto"/>
      </w:pPr>
      <w:r>
        <w:rPr>
          <w:rFonts w:ascii="Cambria" w:hAnsi="Cambria" w:eastAsia="Cambria"/>
          <w:b w:val="0"/>
          <w:i w:val="0"/>
          <w:color w:val="000000"/>
          <w:sz w:val="21"/>
        </w:rPr>
        <w:t>The audit evaluates whether the selected laboratory processes are implemented as planned, conform to defined requirements, support reliable examination results and patient care, and provide effective evidence of the laboratory management system.</w:t>
      </w:r>
    </w:p>
    <w:p>
      <w:pPr>
        <w:spacing w:before="0" w:after="80" w:line="252" w:lineRule="auto"/>
      </w:pPr>
      <w:r>
        <w:rPr>
          <w:rFonts w:ascii="Cambria" w:hAnsi="Cambria" w:eastAsia="Cambria"/>
          <w:b w:val="0"/>
          <w:i w:val="0"/>
          <w:color w:val="000000"/>
          <w:sz w:val="21"/>
        </w:rPr>
        <w:t>State the locations, examination disciplines, POCT activities (where applicable), outsourced activities and exclusions clearly enough that the report can be understood without relying on the audit plan.</w:t>
      </w:r>
    </w:p>
    <w:p>
      <w:pPr>
        <w:keepNext/>
        <w:spacing w:before="180" w:after="80"/>
        <w:pBdr>
          <w:bottom w:val="single" w:sz="8" w:space="2" w:color="D9EAF7"/>
        </w:pBdr>
      </w:pPr>
      <w:r>
        <w:rPr>
          <w:rFonts w:ascii="Cambria" w:hAnsi="Cambria" w:eastAsia="Cambria"/>
          <w:b/>
          <w:i w:val="0"/>
          <w:color w:val="000000"/>
          <w:sz w:val="25"/>
        </w:rPr>
        <w:t>3. Audit Approach</w:t>
      </w:r>
    </w:p>
    <w:tbl>
      <w:tblPr>
        <w:tblStyle w:val="TableGrid"/>
        <w:tblW w:type="auto" w:w="0"/>
        <w:jc w:val="center"/>
        <w:tblLook w:val="04A0"/>
      </w:tblPr>
      <w:tblGrid>
        <w:gridCol w:w="4677"/>
        <w:gridCol w:w="4677"/>
      </w:tblGrid>
      <w:tr>
        <w:trPr>
          <w:tblHeader w:val="true"/>
        </w:trPr>
        <w:tc>
          <w:tcPr>
            <w:tcW w:type="dxa" w:w="204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Method</w:t>
            </w:r>
          </w:p>
        </w:tc>
        <w:tc>
          <w:tcPr>
            <w:tcW w:type="dxa" w:w="703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Application</w:t>
            </w:r>
          </w:p>
        </w:tc>
      </w:tr>
      <w:tr>
        <w:trPr>
          <w:cantSplit/>
        </w:trPr>
        <w:tc>
          <w:tcPr>
            <w:tcW w:type="dxa" w:w="204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Interviews</w:t>
            </w:r>
          </w:p>
        </w:tc>
        <w:tc>
          <w:tcPr>
            <w:tcW w:type="dxa" w:w="703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Confirm responsibilities, competence, awareness and how controls are applied in practice.</w:t>
            </w:r>
          </w:p>
        </w:tc>
      </w:tr>
      <w:tr>
        <w:trPr>
          <w:cantSplit/>
        </w:trPr>
        <w:tc>
          <w:tcPr>
            <w:tcW w:type="dxa" w:w="204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Document / record review</w:t>
            </w:r>
          </w:p>
        </w:tc>
        <w:tc>
          <w:tcPr>
            <w:tcW w:type="dxa" w:w="703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Verify current approved procedures, records, traceability, quality-control evidence and follow-up.</w:t>
            </w:r>
          </w:p>
        </w:tc>
      </w:tr>
      <w:tr>
        <w:trPr>
          <w:cantSplit/>
        </w:trPr>
        <w:tc>
          <w:tcPr>
            <w:tcW w:type="dxa" w:w="204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Observation</w:t>
            </w:r>
          </w:p>
        </w:tc>
        <w:tc>
          <w:tcPr>
            <w:tcW w:type="dxa" w:w="703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Observe pre-examination, examination, post-examination and support activities where included in scope.</w:t>
            </w:r>
          </w:p>
        </w:tc>
      </w:tr>
      <w:tr>
        <w:trPr>
          <w:cantSplit/>
        </w:trPr>
        <w:tc>
          <w:tcPr>
            <w:tcW w:type="dxa" w:w="204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Sampling</w:t>
            </w:r>
          </w:p>
        </w:tc>
        <w:tc>
          <w:tcPr>
            <w:tcW w:type="dxa" w:w="703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Select representative records, specimens, equipment histories or transactions based on risk and audit objectives.</w:t>
            </w:r>
          </w:p>
        </w:tc>
      </w:tr>
      <w:tr>
        <w:trPr>
          <w:cantSplit/>
        </w:trPr>
        <w:tc>
          <w:tcPr>
            <w:tcW w:type="dxa" w:w="204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Trace-through</w:t>
            </w:r>
          </w:p>
        </w:tc>
        <w:tc>
          <w:tcPr>
            <w:tcW w:type="dxa" w:w="703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Follow a specimen, result, complaint, nonconformity or change through the relevant process chain.</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4. Executive Summary</w:t>
      </w:r>
    </w:p>
    <w:tbl>
      <w:tblPr>
        <w:tblStyle w:val="TableGrid"/>
        <w:tblW w:type="auto" w:w="0"/>
        <w:jc w:val="center"/>
        <w:tblLook w:val="04A0"/>
      </w:tblPr>
      <w:tblGrid>
        <w:gridCol w:w="4677"/>
        <w:gridCol w:w="4677"/>
      </w:tblGrid>
      <w:tr>
        <w:trPr>
          <w:tblHeader w:val="true"/>
        </w:trPr>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Summary Item</w:t>
            </w:r>
          </w:p>
        </w:tc>
        <w:tc>
          <w:tcPr>
            <w:tcW w:type="dxa" w:w="5953"/>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Report Entry</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Overall conclusion</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[CONCLUSION BASED ON AUDIT EVIDENCE]</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Strengths / effective practices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[SUMMARY]</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Key risks or systemic weaknesses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[SUMMARY]</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Major nonconformities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[COUNT]</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Minor nonconformities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[COUNT]</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Opportunities for improvement</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[COUNT]</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Immediate escalation required?</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 ] Yes    [ ] No    If Yes: [DETAILS]</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5. Findings Register</w:t>
      </w: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The rows below are Illustrative Data only. Replace or delete them before issuing a live audit report.</w:t>
            </w:r>
          </w:p>
        </w:tc>
      </w:tr>
    </w:tbl>
    <w:tbl>
      <w:tblPr>
        <w:tblStyle w:val="TableGrid"/>
        <w:tblW w:type="auto" w:w="0"/>
        <w:jc w:val="center"/>
        <w:tblLook w:val="04A0"/>
      </w:tblPr>
      <w:tblGrid>
        <w:gridCol w:w="1039"/>
        <w:gridCol w:w="1039"/>
        <w:gridCol w:w="1039"/>
        <w:gridCol w:w="1039"/>
        <w:gridCol w:w="1039"/>
        <w:gridCol w:w="1039"/>
        <w:gridCol w:w="1039"/>
        <w:gridCol w:w="1039"/>
        <w:gridCol w:w="1039"/>
      </w:tblGrid>
      <w:tr>
        <w:trPr>
          <w:tblHeader w:val="true"/>
        </w:trPr>
        <w:tc>
          <w:tcPr>
            <w:tcW w:type="dxa" w:w="90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6"/>
              </w:rPr>
              <w:t>Finding ID</w:t>
            </w:r>
          </w:p>
        </w:tc>
        <w:tc>
          <w:tcPr>
            <w:tcW w:type="dxa" w:w="124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6"/>
              </w:rPr>
              <w:t>Process</w:t>
            </w:r>
          </w:p>
        </w:tc>
        <w:tc>
          <w:tcPr>
            <w:tcW w:type="dxa" w:w="136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6"/>
              </w:rPr>
              <w:t>Topic</w:t>
            </w:r>
          </w:p>
        </w:tc>
        <w:tc>
          <w:tcPr>
            <w:tcW w:type="dxa" w:w="85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6"/>
              </w:rPr>
              <w:t>Type</w:t>
            </w:r>
          </w:p>
        </w:tc>
        <w:tc>
          <w:tcPr>
            <w:tcW w:type="dxa" w:w="2835"/>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6"/>
              </w:rPr>
              <w:t>Evidence-based finding</w:t>
            </w:r>
          </w:p>
        </w:tc>
        <w:tc>
          <w:tcPr>
            <w:tcW w:type="dxa" w:w="243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6"/>
              </w:rPr>
              <w:t>Required evidence / follow-up</w:t>
            </w:r>
          </w:p>
        </w:tc>
        <w:tc>
          <w:tcPr>
            <w:tcW w:type="dxa" w:w="136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6"/>
              </w:rPr>
              <w:t>Owner Role</w:t>
            </w:r>
          </w:p>
        </w:tc>
        <w:tc>
          <w:tcPr>
            <w:tcW w:type="dxa" w:w="102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6"/>
              </w:rPr>
              <w:t>Status</w:t>
            </w:r>
          </w:p>
        </w:tc>
        <w:tc>
          <w:tcPr>
            <w:tcW w:type="dxa" w:w="113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6"/>
              </w:rPr>
              <w:t>Data Type</w:t>
            </w:r>
          </w:p>
        </w:tc>
      </w:tr>
      <w:tr>
        <w:trPr>
          <w:cantSplit/>
        </w:trPr>
        <w:tc>
          <w:tcPr>
            <w:tcW w:type="dxa" w:w="90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EX-AUD-001</w:t>
            </w:r>
          </w:p>
        </w:tc>
        <w:tc>
          <w:tcPr>
            <w:tcW w:type="dxa" w:w="124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Pre-examination</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Specimen acceptance</w:t>
            </w:r>
          </w:p>
        </w:tc>
        <w:tc>
          <w:tcPr>
            <w:tcW w:type="dxa" w:w="8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Minor NC</w:t>
            </w:r>
          </w:p>
        </w:tc>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A specimen acceptance exception was documented, but the reason for overriding the rejection criterion was not recorded.</w:t>
            </w:r>
          </w:p>
        </w:tc>
        <w:tc>
          <w:tcPr>
            <w:tcW w:type="dxa" w:w="243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Documented exception decision with authorization and rationale.</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Laboratory Supervisor</w:t>
            </w:r>
          </w:p>
        </w:tc>
        <w:tc>
          <w:tcPr>
            <w:tcW w:type="dxa" w:w="102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Open</w:t>
            </w:r>
          </w:p>
        </w:tc>
        <w:tc>
          <w:tcPr>
            <w:tcW w:type="dxa" w:w="113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Example Data</w:t>
            </w:r>
          </w:p>
        </w:tc>
      </w:tr>
      <w:tr>
        <w:trPr>
          <w:cantSplit/>
        </w:trPr>
        <w:tc>
          <w:tcPr>
            <w:tcW w:type="dxa" w:w="90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EX-AUD-002</w:t>
            </w:r>
          </w:p>
        </w:tc>
        <w:tc>
          <w:tcPr>
            <w:tcW w:type="dxa" w:w="124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Examination</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Internal quality control</w:t>
            </w:r>
          </w:p>
        </w:tc>
        <w:tc>
          <w:tcPr>
            <w:tcW w:type="dxa" w:w="8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Major NC</w:t>
            </w:r>
          </w:p>
        </w:tc>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A defined QC failure occurred and patient results were released before documented resolution of the control failure.</w:t>
            </w:r>
          </w:p>
        </w:tc>
        <w:tc>
          <w:tcPr>
            <w:tcW w:type="dxa" w:w="243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Immediate containment, result-impact review and corrective action evidence.</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Section Head</w:t>
            </w:r>
          </w:p>
        </w:tc>
        <w:tc>
          <w:tcPr>
            <w:tcW w:type="dxa" w:w="102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Open</w:t>
            </w:r>
          </w:p>
        </w:tc>
        <w:tc>
          <w:tcPr>
            <w:tcW w:type="dxa" w:w="113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Example Data</w:t>
            </w:r>
          </w:p>
        </w:tc>
      </w:tr>
      <w:tr>
        <w:trPr>
          <w:cantSplit/>
        </w:trPr>
        <w:tc>
          <w:tcPr>
            <w:tcW w:type="dxa" w:w="90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EX-AUD-003</w:t>
            </w:r>
          </w:p>
        </w:tc>
        <w:tc>
          <w:tcPr>
            <w:tcW w:type="dxa" w:w="124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Post-examination</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Critical result communication</w:t>
            </w:r>
          </w:p>
        </w:tc>
        <w:tc>
          <w:tcPr>
            <w:tcW w:type="dxa" w:w="8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Opportunity</w:t>
            </w:r>
          </w:p>
        </w:tc>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Critical result calls were timely, but read-back documentation was inconsistent across sampled records.</w:t>
            </w:r>
          </w:p>
        </w:tc>
        <w:tc>
          <w:tcPr>
            <w:tcW w:type="dxa" w:w="243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Updated communication record and staff briefing.</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Quality Manager</w:t>
            </w:r>
          </w:p>
        </w:tc>
        <w:tc>
          <w:tcPr>
            <w:tcW w:type="dxa" w:w="102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In Progress</w:t>
            </w:r>
          </w:p>
        </w:tc>
        <w:tc>
          <w:tcPr>
            <w:tcW w:type="dxa" w:w="113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Example Data</w:t>
            </w:r>
          </w:p>
        </w:tc>
      </w:tr>
      <w:tr>
        <w:trPr>
          <w:cantSplit/>
        </w:trPr>
        <w:tc>
          <w:tcPr>
            <w:tcW w:type="dxa" w:w="90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EX-AUD-004</w:t>
            </w:r>
          </w:p>
        </w:tc>
        <w:tc>
          <w:tcPr>
            <w:tcW w:type="dxa" w:w="124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Resources</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Equipment</w:t>
            </w:r>
          </w:p>
        </w:tc>
        <w:tc>
          <w:tcPr>
            <w:tcW w:type="dxa" w:w="8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Minor NC</w:t>
            </w:r>
          </w:p>
        </w:tc>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Preventive maintenance was completed, but the equipment status label had not been updated.</w:t>
            </w:r>
          </w:p>
        </w:tc>
        <w:tc>
          <w:tcPr>
            <w:tcW w:type="dxa" w:w="243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Updated status identification and local verification check.</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Equipment Coordinator</w:t>
            </w:r>
          </w:p>
        </w:tc>
        <w:tc>
          <w:tcPr>
            <w:tcW w:type="dxa" w:w="102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Closed</w:t>
            </w:r>
          </w:p>
        </w:tc>
        <w:tc>
          <w:tcPr>
            <w:tcW w:type="dxa" w:w="113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6"/>
              </w:rPr>
              <w:t>Example Data</w:t>
            </w:r>
          </w:p>
        </w:tc>
      </w:tr>
      <w:tr>
        <w:trPr>
          <w:cantSplit/>
        </w:trPr>
        <w:tc>
          <w:tcPr>
            <w:tcW w:type="dxa" w:w="90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EX-AUD-005</w:t>
            </w:r>
          </w:p>
        </w:tc>
        <w:tc>
          <w:tcPr>
            <w:tcW w:type="dxa" w:w="124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Management System</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Corrective action</w:t>
            </w:r>
          </w:p>
        </w:tc>
        <w:tc>
          <w:tcPr>
            <w:tcW w:type="dxa" w:w="8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Opportunity</w:t>
            </w:r>
          </w:p>
        </w:tc>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Trend review identified recurrent specimen-label errors; the current action focuses on retraining without checking upstream causes.</w:t>
            </w:r>
          </w:p>
        </w:tc>
        <w:tc>
          <w:tcPr>
            <w:tcW w:type="dxa" w:w="243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Root-cause review and effectiveness measure addressing the specimen-identification process.</w:t>
            </w:r>
          </w:p>
        </w:tc>
        <w:tc>
          <w:tcPr>
            <w:tcW w:type="dxa" w:w="136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Quality Manager</w:t>
            </w:r>
          </w:p>
        </w:tc>
        <w:tc>
          <w:tcPr>
            <w:tcW w:type="dxa" w:w="102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Planned</w:t>
            </w:r>
          </w:p>
        </w:tc>
        <w:tc>
          <w:tcPr>
            <w:tcW w:type="dxa" w:w="113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6"/>
              </w:rPr>
              <w:t>Example Data</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6. Detailed Finding Record</w:t>
      </w:r>
    </w:p>
    <w:tbl>
      <w:tblPr>
        <w:tblStyle w:val="TableGrid"/>
        <w:tblW w:type="auto" w:w="0"/>
        <w:jc w:val="center"/>
        <w:tblLook w:val="04A0"/>
      </w:tblPr>
      <w:tblGrid>
        <w:gridCol w:w="4677"/>
        <w:gridCol w:w="4677"/>
      </w:tblGrid>
      <w:tr>
        <w:trPr>
          <w:tblHeader w:val="true"/>
        </w:trPr>
        <w:tc>
          <w:tcPr>
            <w:tcW w:type="dxa" w:w="272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6350"/>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Entry</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Finding ID</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[FINDING ID]</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Requirement / criterion</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[REQUIREMENT OR INTERNAL CRITERION]</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Objective evidence</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[WHAT WAS SEEN, HEARD OR REVIEWED]</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Finding statement</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[FACTUAL DESCRIPTION OF THE GAP]</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Risk / impact</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[PATIENT / RESULT / PROCESS / SYSTEM IMPACT]</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Correction / containment</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[IMMEDIATE ACTION IF REQUIRED]</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Corrective action owner and due date</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[OWNER] | [DATE]</w:t>
            </w:r>
          </w:p>
        </w:tc>
      </w:tr>
      <w:tr>
        <w:trPr>
          <w:cantSplit/>
        </w:trPr>
        <w:tc>
          <w:tcPr>
            <w:tcW w:type="dxa" w:w="272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Effectiveness verification</w:t>
            </w:r>
          </w:p>
        </w:tc>
        <w:tc>
          <w:tcPr>
            <w:tcW w:type="dxa" w:w="6350"/>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[METHOD, RESPONSIBLE ROLE, DATE]</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7. Positive Practices and Improvement Opportunities</w:t>
      </w:r>
    </w:p>
    <w:tbl>
      <w:tblPr>
        <w:tblStyle w:val="TableGrid"/>
        <w:tblW w:type="auto" w:w="0"/>
        <w:jc w:val="center"/>
        <w:tblLook w:val="04A0"/>
      </w:tblPr>
      <w:tblGrid>
        <w:gridCol w:w="3118"/>
        <w:gridCol w:w="3118"/>
        <w:gridCol w:w="3118"/>
      </w:tblGrid>
      <w:tr>
        <w:trPr>
          <w:tblHeader w:val="true"/>
        </w:trPr>
        <w:tc>
          <w:tcPr>
            <w:tcW w:type="dxa" w:w="181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Area</w:t>
            </w:r>
          </w:p>
        </w:tc>
        <w:tc>
          <w:tcPr>
            <w:tcW w:type="dxa" w:w="4252"/>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Observed strength / opportunity</w:t>
            </w:r>
          </w:p>
        </w:tc>
        <w:tc>
          <w:tcPr>
            <w:tcW w:type="dxa" w:w="3005"/>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Suggested follow-up</w:t>
            </w:r>
          </w:p>
        </w:tc>
      </w:tr>
      <w:tr>
        <w:trPr>
          <w:cantSplit/>
        </w:trPr>
        <w:tc>
          <w:tcPr>
            <w:tcW w:type="dxa" w:w="181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[AREA]</w:t>
            </w:r>
          </w:p>
        </w:tc>
        <w:tc>
          <w:tcPr>
            <w:tcW w:type="dxa" w:w="425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[OBSERVATION]</w:t>
            </w:r>
          </w:p>
        </w:tc>
        <w:tc>
          <w:tcPr>
            <w:tcW w:type="dxa" w:w="300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[FOLLOW-UP]</w:t>
            </w:r>
          </w:p>
        </w:tc>
      </w:tr>
      <w:tr>
        <w:trPr>
          <w:cantSplit/>
        </w:trPr>
        <w:tc>
          <w:tcPr>
            <w:tcW w:type="dxa" w:w="181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[AREA]</w:t>
            </w:r>
          </w:p>
        </w:tc>
        <w:tc>
          <w:tcPr>
            <w:tcW w:type="dxa" w:w="425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[OBSERVATION]</w:t>
            </w:r>
          </w:p>
        </w:tc>
        <w:tc>
          <w:tcPr>
            <w:tcW w:type="dxa" w:w="300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[FOLLOW-UP]</w:t>
            </w:r>
          </w:p>
        </w:tc>
      </w:tr>
      <w:tr>
        <w:trPr>
          <w:cantSplit/>
        </w:trPr>
        <w:tc>
          <w:tcPr>
            <w:tcW w:type="dxa" w:w="181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[AREA]</w:t>
            </w:r>
          </w:p>
        </w:tc>
        <w:tc>
          <w:tcPr>
            <w:tcW w:type="dxa" w:w="4252"/>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[OBSERVATION]</w:t>
            </w:r>
          </w:p>
        </w:tc>
        <w:tc>
          <w:tcPr>
            <w:tcW w:type="dxa" w:w="300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[FOLLOW-UP]</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8. Audit Conclusion</w:t>
      </w:r>
    </w:p>
    <w:p>
      <w:pPr>
        <w:spacing w:before="0" w:after="80" w:line="252" w:lineRule="auto"/>
      </w:pPr>
      <w:r>
        <w:rPr>
          <w:rFonts w:ascii="Cambria" w:hAnsi="Cambria" w:eastAsia="Cambria"/>
          <w:b w:val="0"/>
          <w:i w:val="0"/>
          <w:color w:val="000000"/>
          <w:sz w:val="21"/>
        </w:rPr>
        <w:t>[Insert a concise conclusion supported by the audit evidence. Avoid absolute statements when the audit used sampling. State whether significant risks, systemic issues or immediate actions were identified.]</w:t>
      </w:r>
    </w:p>
    <w:p>
      <w:pPr>
        <w:keepNext/>
        <w:spacing w:before="180" w:after="80"/>
        <w:pBdr>
          <w:bottom w:val="single" w:sz="8" w:space="2" w:color="D9EAF7"/>
        </w:pBdr>
      </w:pPr>
      <w:r>
        <w:rPr>
          <w:rFonts w:ascii="Cambria" w:hAnsi="Cambria" w:eastAsia="Cambria"/>
          <w:b/>
          <w:i w:val="0"/>
          <w:color w:val="000000"/>
          <w:sz w:val="25"/>
        </w:rPr>
        <w:t>9. Follow-up and Closure</w:t>
      </w:r>
    </w:p>
    <w:tbl>
      <w:tblPr>
        <w:tblStyle w:val="TableGrid"/>
        <w:tblW w:type="auto" w:w="0"/>
        <w:jc w:val="center"/>
        <w:tblLook w:val="04A0"/>
      </w:tblPr>
      <w:tblGrid>
        <w:gridCol w:w="4677"/>
        <w:gridCol w:w="4677"/>
      </w:tblGrid>
      <w:tr>
        <w:trPr>
          <w:tblHeader w:val="true"/>
        </w:trPr>
        <w:tc>
          <w:tcPr>
            <w:tcW w:type="dxa" w:w="226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Control</w:t>
            </w:r>
          </w:p>
        </w:tc>
        <w:tc>
          <w:tcPr>
            <w:tcW w:type="dxa" w:w="6803"/>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Requirement</w:t>
            </w:r>
          </w:p>
        </w:tc>
      </w:tr>
      <w:tr>
        <w:trPr>
          <w:cantSplit/>
        </w:trPr>
        <w:tc>
          <w:tcPr>
            <w:tcW w:type="dxa" w:w="226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Action assignment</w:t>
            </w:r>
          </w:p>
        </w:tc>
        <w:tc>
          <w:tcPr>
            <w:tcW w:type="dxa" w:w="680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Each accepted finding has a responsible owner and agreed due date.</w:t>
            </w:r>
          </w:p>
        </w:tc>
      </w:tr>
      <w:tr>
        <w:trPr>
          <w:cantSplit/>
        </w:trPr>
        <w:tc>
          <w:tcPr>
            <w:tcW w:type="dxa" w:w="226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Evidence review</w:t>
            </w:r>
          </w:p>
        </w:tc>
        <w:tc>
          <w:tcPr>
            <w:tcW w:type="dxa" w:w="680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Closure evidence is reviewed for adequacy and traceability.</w:t>
            </w:r>
          </w:p>
        </w:tc>
      </w:tr>
      <w:tr>
        <w:trPr>
          <w:cantSplit/>
        </w:trPr>
        <w:tc>
          <w:tcPr>
            <w:tcW w:type="dxa" w:w="226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Effectiveness</w:t>
            </w:r>
          </w:p>
        </w:tc>
        <w:tc>
          <w:tcPr>
            <w:tcW w:type="dxa" w:w="680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Corrective action effectiveness is verified, especially for recurrent or high-risk findings.</w:t>
            </w:r>
          </w:p>
        </w:tc>
      </w:tr>
      <w:tr>
        <w:trPr>
          <w:cantSplit/>
        </w:trPr>
        <w:tc>
          <w:tcPr>
            <w:tcW w:type="dxa" w:w="226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Escalation</w:t>
            </w:r>
          </w:p>
        </w:tc>
        <w:tc>
          <w:tcPr>
            <w:tcW w:type="dxa" w:w="680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Overdue, blocked or patient-safety-significant actions are escalated through laboratory governance.</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10. Distribution and Approval</w:t>
      </w:r>
    </w:p>
    <w:tbl>
      <w:tblPr>
        <w:tblStyle w:val="TableGrid"/>
        <w:tblW w:type="auto" w:w="0"/>
        <w:jc w:val="center"/>
        <w:tblLook w:val="04A0"/>
      </w:tblPr>
      <w:tblGrid>
        <w:gridCol w:w="3118"/>
        <w:gridCol w:w="3118"/>
        <w:gridCol w:w="3118"/>
      </w:tblGrid>
      <w:tr>
        <w:trPr>
          <w:tblHeader w:val="true"/>
        </w:trPr>
        <w:tc>
          <w:tcPr>
            <w:tcW w:type="dxa" w:w="328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Role</w:t>
            </w:r>
          </w:p>
        </w:tc>
        <w:tc>
          <w:tcPr>
            <w:tcW w:type="dxa" w:w="3969"/>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Name / Signature</w:t>
            </w:r>
          </w:p>
        </w:tc>
        <w:tc>
          <w:tcPr>
            <w:tcW w:type="dxa" w:w="181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Date</w:t>
            </w:r>
          </w:p>
        </w:tc>
      </w:tr>
      <w:tr>
        <w:trPr>
          <w:cantSplit/>
        </w:trPr>
        <w:tc>
          <w:tcPr>
            <w:tcW w:type="dxa" w:w="328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Lead Auditor</w:t>
            </w:r>
          </w:p>
        </w:tc>
        <w:tc>
          <w:tcPr>
            <w:tcW w:type="dxa" w:w="3969"/>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SIGNATURE]</w:t>
            </w:r>
          </w:p>
        </w:tc>
        <w:tc>
          <w:tcPr>
            <w:tcW w:type="dxa" w:w="181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[DATE]</w:t>
            </w:r>
          </w:p>
        </w:tc>
      </w:tr>
      <w:tr>
        <w:trPr>
          <w:cantSplit/>
        </w:trPr>
        <w:tc>
          <w:tcPr>
            <w:tcW w:type="dxa" w:w="328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Quality Manager</w:t>
            </w:r>
          </w:p>
        </w:tc>
        <w:tc>
          <w:tcPr>
            <w:tcW w:type="dxa" w:w="3969"/>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[NAME / SIGNATURE]</w:t>
            </w:r>
          </w:p>
        </w:tc>
        <w:tc>
          <w:tcPr>
            <w:tcW w:type="dxa" w:w="181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[DATE]</w:t>
            </w:r>
          </w:p>
        </w:tc>
      </w:tr>
      <w:tr>
        <w:trPr>
          <w:cantSplit/>
        </w:trPr>
        <w:tc>
          <w:tcPr>
            <w:tcW w:type="dxa" w:w="328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Laboratory Director / Authorized Approver</w:t>
            </w:r>
          </w:p>
        </w:tc>
        <w:tc>
          <w:tcPr>
            <w:tcW w:type="dxa" w:w="3969"/>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SIGNATURE]</w:t>
            </w:r>
          </w:p>
        </w:tc>
        <w:tc>
          <w:tcPr>
            <w:tcW w:type="dxa" w:w="181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[DATE]</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References</w:t>
      </w:r>
    </w:p>
    <w:p>
      <w:r>
        <w:rPr>
          <w:rFonts w:ascii="Cambria" w:hAnsi="Cambria" w:eastAsia="Cambria"/>
          <w:b/>
          <w:i w:val="0"/>
          <w:color w:val="000000"/>
          <w:sz w:val="19"/>
        </w:rPr>
        <w:t>ISO 15189:2022 — Medical laboratories — Requirements for quality and competence</w:t>
      </w:r>
    </w:p>
    <w:p>
      <w:pPr>
        <w:spacing w:after="60"/>
      </w:pPr>
      <w:r>
        <w:rPr>
          <w:rFonts w:ascii="Calibri" w:hAnsi="Calibri" w:eastAsia="Calibri"/>
          <w:b w:val="0"/>
          <w:i w:val="0"/>
          <w:color w:val="1F4E79"/>
          <w:sz w:val="18"/>
        </w:rPr>
        <w:t>https://www.iso.org/standard/76677.html</w:t>
      </w:r>
    </w:p>
    <w:p>
      <w:r>
        <w:rPr>
          <w:rFonts w:ascii="Cambria" w:hAnsi="Cambria" w:eastAsia="Cambria"/>
          <w:b/>
          <w:i w:val="0"/>
          <w:color w:val="000000"/>
          <w:sz w:val="19"/>
        </w:rPr>
        <w:t>ISO 19011:2026 — Guidelines for auditing management systems</w:t>
      </w:r>
    </w:p>
    <w:p>
      <w:pPr>
        <w:spacing w:after="60"/>
      </w:pPr>
      <w:r>
        <w:rPr>
          <w:rFonts w:ascii="Calibri" w:hAnsi="Calibri" w:eastAsia="Calibri"/>
          <w:b w:val="0"/>
          <w:i w:val="0"/>
          <w:color w:val="1F4E79"/>
          <w:sz w:val="18"/>
        </w:rPr>
        <w:t>https://committee.iso.org/standard/19011</w:t>
      </w:r>
    </w:p>
    <w:p>
      <w:r>
        <w:rPr>
          <w:rFonts w:ascii="Cambria" w:hAnsi="Cambria" w:eastAsia="Cambria"/>
          <w:b w:val="0"/>
          <w:i/>
          <w:color w:val="666666"/>
          <w:sz w:val="19"/>
        </w:rPr>
        <w:t>Applicable national, regional, accreditation-body and regulatory requirements should also be incorporated where relevant to the laboratory.</w:t>
      </w:r>
    </w:p>
    <w:p>
      <w:pPr>
        <w:keepNext/>
        <w:spacing w:before="180" w:after="80"/>
        <w:pBdr>
          <w:bottom w:val="single" w:sz="8" w:space="2" w:color="D9EAF7"/>
        </w:pBdr>
      </w:pPr>
      <w:r>
        <w:rPr>
          <w:rFonts w:ascii="Cambria" w:hAnsi="Cambria" w:eastAsia="Cambria"/>
          <w:b/>
          <w:i w:val="0"/>
          <w:color w:val="000000"/>
          <w:sz w:val="25"/>
        </w:rPr>
        <w:t>Revision and Approval</w:t>
      </w:r>
    </w:p>
    <w:tbl>
      <w:tblPr>
        <w:tblStyle w:val="TableGrid"/>
        <w:tblW w:type="auto" w:w="0"/>
        <w:jc w:val="center"/>
        <w:tblLook w:val="04A0"/>
      </w:tblPr>
      <w:tblGrid>
        <w:gridCol w:w="3118"/>
        <w:gridCol w:w="3118"/>
        <w:gridCol w:w="3118"/>
      </w:tblGrid>
      <w:tr>
        <w:trPr>
          <w:tblHeader w:val="true"/>
        </w:trPr>
        <w:tc>
          <w:tcPr>
            <w:tcW w:type="dxa" w:w="141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Version</w:t>
            </w:r>
          </w:p>
        </w:tc>
        <w:tc>
          <w:tcPr>
            <w:tcW w:type="dxa" w:w="198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Effective Date</w:t>
            </w:r>
          </w:p>
        </w:tc>
        <w:tc>
          <w:tcPr>
            <w:tcW w:type="dxa" w:w="5669"/>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Description</w:t>
            </w:r>
          </w:p>
        </w:tc>
      </w:tr>
      <w:tr>
        <w:trPr>
          <w:cantSplit/>
        </w:trPr>
        <w:tc>
          <w:tcPr>
            <w:tcW w:type="dxa" w:w="14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2026-09-19</w:t>
            </w:r>
          </w:p>
        </w:tc>
        <w:tc>
          <w:tcPr>
            <w:tcW w:type="dxa" w:w="5669"/>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Initial issue</w:t>
            </w:r>
          </w:p>
        </w:tc>
      </w:tr>
    </w:tbl>
    <w:p>
      <w:pPr>
        <w:spacing w:before="0" w:after="0" w:line="252" w:lineRule="auto"/>
      </w:pPr>
    </w:p>
    <w:tbl>
      <w:tblPr>
        <w:tblStyle w:val="TableGrid"/>
        <w:tblW w:type="auto" w:w="0"/>
        <w:jc w:val="center"/>
        <w:tblLook w:val="04A0"/>
      </w:tblPr>
      <w:tblGrid>
        <w:gridCol w:w="2339"/>
        <w:gridCol w:w="2339"/>
        <w:gridCol w:w="2339"/>
        <w:gridCol w:w="2339"/>
      </w:tblGrid>
      <w:tr>
        <w:trPr>
          <w:tblHeader w:val="true"/>
        </w:trPr>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Prepared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Reviewed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Approved by</w:t>
            </w:r>
          </w:p>
        </w:tc>
        <w:tc>
          <w:tcPr>
            <w:tcW w:type="dxa" w:w="170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Date</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170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[DATE]</w:t>
            </w:r>
          </w:p>
        </w:tc>
      </w:tr>
    </w:tbl>
    <w:p>
      <w:pPr>
        <w:spacing w:before="0" w:after="0" w:line="252" w:lineRule="auto"/>
      </w:pPr>
    </w:p>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jc w:val="center"/>
    </w:pPr>
    <w:r>
      <w:rPr>
        <w:rFonts w:ascii="Calibri" w:hAnsi="Calibri" w:eastAsia="Calibri"/>
        <w:b w:val="0"/>
        <w:i w:val="0"/>
        <w:color w:val="666666"/>
        <w:sz w:val="16"/>
      </w:rPr>
      <w:t xml:space="preserve">www.iso-toolkits.org | info@iso-toolkits.org | Page </w:t>
    </w:r>
    <w:r>
      <w:fldChar w:fldCharType="begin"/>
      <w:instrText xml:space="preserve"> PAGE </w:instrText>
      <w:fldChar w:fldCharType="separate"/>
      <w:t>1</w:t>
      <w:fldChar w:fldCharType="end"/>
    </w:r>
    <w:r>
      <w:rPr>
        <w:rFonts w:ascii="Calibri" w:hAnsi="Calibri" w:eastAsia="Calibri"/>
        <w:b w:val="0"/>
        <w:i w:val="0"/>
        <w:color w:val="666666"/>
        <w:sz w:val="16"/>
      </w:rPr>
      <w:t xml:space="preserve"> of </w:t>
    </w:r>
    <w:r>
      <w:fldChar w:fldCharType="begin"/>
      <w:instrText xml:space="preserve"> NUMPAGES </w:instrText>
      <w:fldChar w:fldCharType="separate"/>
      <w:t>1</w:t>
      <w:fldChar w:fldCharType="end"/>
    </w:r>
  </w:p>
</w:ftr>
</file>

<file path=word/header1.xml><?xml version="1.0" encoding="utf-8"?>
<w:hdr xmlns:w="http://schemas.openxmlformats.org/wordprocessingml/2006/main">
  <w:p>
    <w:pPr>
      <w:pStyle w:val="Header"/>
    </w:pPr>
  </w:p>
  <w:tbl>
    <w:tblPr>
      <w:tblW w:type="auto" w:w="0"/>
      <w:jc w:val="center"/>
      <w:tblLook w:val="04A0"/>
    </w:tblPr>
    <w:tblGrid>
      <w:gridCol w:w="3118"/>
      <w:gridCol w:w="3118"/>
      <w:gridCol w:w="3118"/>
    </w:tblGrid>
    <w:tr>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ORGANIZATION LOGO</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i w:val="0"/>
              <w:color w:val="1F4E79"/>
              <w:sz w:val="15"/>
            </w:rPr>
            <w:t>[ORGANIZATION NAME]</w:t>
            <w:br/>
            <w:t>Internal Laboratory Audit Report</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LQMS-RPT-001</w:t>
            <w:br/>
            <w:t>Version 1.0</w:t>
            <w:br/>
            <w:t>2026-09-19</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eastAsia="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mbria" w:hAnsi="Cambria" w:eastAsia="Cambria"/>
      <w:sz w:val="20"/>
    </w:rPr>
  </w:style>
  <w:style w:type="paragraph" w:styleId="ListBullet2">
    <w:name w:val="List Bullet 2"/>
    <w:basedOn w:val="Normal"/>
    <w:uiPriority w:val="99"/>
    <w:unhideWhenUsed/>
    <w:rsid w:val="00326F90"/>
    <w:pPr>
      <w:numPr>
        <w:numId w:val="2"/>
      </w:numPr>
      <w:spacing w:after="40"/>
      <w:contextualSpacing/>
    </w:pPr>
    <w:rPr>
      <w:rFonts w:ascii="Cambria" w:hAnsi="Cambria" w:eastAsia="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Cambria" w:hAnsi="Cambria" w:eastAsia="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Internal Laboratory Audit Report</dc:title>
  <dc:subject>ISO 15189:2022 laboratory quality management system document</dc:subject>
  <dc:creator>ISO Toolkits</dc:creator>
  <cp:keywords>ISO 15189, laboratory quality, LQMS, Audit Report</cp:keywords>
  <dc:description>Practical ISO 15189 toolkit document. www.iso-toolkits.org</dc:description>
  <cp:lastModifiedBy/>
  <cp:revision>1</cp:revision>
  <dcterms:created xsi:type="dcterms:W3CDTF">2013-12-23T23:15:00Z</dcterms:created>
  <dcterms:modified xsi:type="dcterms:W3CDTF">2013-12-23T23:15:00Z</dcterms:modified>
  <cp:category/>
</cp:coreProperties>
</file>