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800"/>
        <w:jc w:val="center"/>
      </w:pPr>
      <w:r>
        <w:rPr>
          <w:rFonts w:ascii="Cambria" w:hAnsi="Cambria"/>
          <w:b/>
          <w:i w:val="0"/>
          <w:color w:val="1F4E79"/>
          <w:sz w:val="44"/>
        </w:rPr>
        <w:t>Internal Laboratory Audit Procedure</w:t>
      </w:r>
    </w:p>
    <w:p>
      <w:pPr>
        <w:jc w:val="center"/>
      </w:pPr>
      <w:r>
        <w:rPr>
          <w:rFonts w:ascii="Cambria" w:hAnsi="Cambria"/>
          <w:b w:val="0"/>
          <w:i w:val="0"/>
          <w:color w:val="555555"/>
          <w:sz w:val="24"/>
        </w:rPr>
        <w:t>Procedure for planning, conducting, reporting and following up internal laboratory audits</w:t>
      </w:r>
    </w:p>
    <w:p>
      <w:pPr>
        <w:spacing w:before="200"/>
        <w:jc w:val="center"/>
      </w:pPr>
      <w:r>
        <w:rPr>
          <w:rFonts w:ascii="Cambria" w:hAnsi="Cambria"/>
          <w:b/>
          <w:i w:val="0"/>
          <w:color w:val="1F4E79"/>
          <w:sz w:val="21"/>
        </w:rPr>
        <w:t>ISO 15189:2022 — Medical laboratories — Requirements for quality and competence</w:t>
      </w:r>
    </w:p>
    <w:tbl>
      <w:tblPr>
        <w:tblStyle w:val="TableGrid"/>
        <w:tblW w:type="auto" w:w="0"/>
        <w:jc w:val="center"/>
        <w:tblLook w:val="04A0"/>
      </w:tblPr>
      <w:tblGrid>
        <w:gridCol w:w="2339"/>
        <w:gridCol w:w="2339"/>
        <w:gridCol w:w="2339"/>
        <w:gridCol w:w="2339"/>
      </w:tblGrid>
      <w:tr>
        <w:trPr>
          <w:tblHeader w:val="true"/>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Document Code</w:t>
            </w:r>
          </w:p>
        </w:tc>
        <w:tc>
          <w:tcPr>
            <w:tcW w:type="dxa" w:w="233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LQMS-PRO-001</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Version</w:t>
            </w:r>
          </w:p>
        </w:tc>
        <w:tc>
          <w:tcPr>
            <w:tcW w:type="dxa" w:w="233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1.0</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Effective Date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2026-09-19</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Classification</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INTERNAL</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Document Owner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[DOCUMENT OWNER]</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Approver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[APPROVER]</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Organization</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[ORGANIZATION NAME]</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Review Cycle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[ANNUAL / UPON CHANGE]</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Website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www.iso-toolkits.org</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Email</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info@iso-toolkits.org</w:t>
            </w:r>
          </w:p>
        </w:tc>
      </w:tr>
    </w:tbl>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Replace organization-specific placeholders and confirm applicable statutory, regulatory, accreditation and payer requirements before controlled release.</w:t>
            </w:r>
          </w:p>
        </w:tc>
      </w:tr>
    </w:tbl>
    <w:p>
      <w:pPr>
        <w:spacing w:after="20"/>
      </w:pPr>
    </w:p>
    <w:p>
      <w:r>
        <w:br w:type="page"/>
      </w:r>
    </w:p>
    <w:p>
      <w:pPr>
        <w:pStyle w:val="Heading1"/>
        <w:spacing w:before="140" w:after="80"/>
        <w:keepNext/>
      </w:pPr>
      <w:r>
        <w:t>1. Purpose</w:t>
      </w:r>
    </w:p>
    <w:p>
      <w:pPr>
        <w:spacing w:after="80" w:line="259" w:lineRule="auto"/>
      </w:pPr>
      <w:r>
        <w:rPr>
          <w:rFonts w:ascii="Cambria" w:hAnsi="Cambria"/>
          <w:b w:val="0"/>
          <w:i w:val="0"/>
          <w:color w:val="000000"/>
          <w:sz w:val="21"/>
        </w:rPr>
        <w:t>To define a consistent process for planning, conducting, reporting and following up internal audits of the laboratory quality management system and technical activities so that management receives objective assurance about implementation, conformity, effectiveness and opportunities for improvement.</w:t>
      </w:r>
    </w:p>
    <w:p>
      <w:pPr>
        <w:pStyle w:val="Heading1"/>
        <w:spacing w:before="140" w:after="80"/>
        <w:keepNext/>
      </w:pPr>
      <w:r>
        <w:t>2. Scope</w:t>
      </w:r>
    </w:p>
    <w:p>
      <w:pPr>
        <w:spacing w:after="80" w:line="259" w:lineRule="auto"/>
      </w:pPr>
      <w:r>
        <w:rPr>
          <w:rFonts w:ascii="Cambria" w:hAnsi="Cambria"/>
          <w:b w:val="0"/>
          <w:i w:val="0"/>
          <w:color w:val="000000"/>
          <w:sz w:val="21"/>
        </w:rPr>
        <w:t>This procedure applies to all LQMS processes and relevant laboratory activities within the approved audit programme, including governance, resources, pre-examination, examination, post-examination, information management, quality controls, support functions and POCT governance where applicable.</w:t>
      </w:r>
    </w:p>
    <w:p>
      <w:pPr>
        <w:pStyle w:val="Heading1"/>
        <w:spacing w:before="140" w:after="80"/>
        <w:keepNext/>
      </w:pPr>
      <w:r>
        <w:t>3. Responsibilities</w:t>
      </w:r>
    </w:p>
    <w:tbl>
      <w:tblPr>
        <w:tblStyle w:val="TableGrid"/>
        <w:tblW w:type="auto" w:w="0"/>
        <w:jc w:val="center"/>
        <w:tblLook w:val="04A0"/>
      </w:tblPr>
      <w:tblGrid>
        <w:gridCol w:w="4677"/>
        <w:gridCol w:w="4677"/>
      </w:tblGrid>
      <w:tr>
        <w:trPr>
          <w:tblHeader w:val="true"/>
          <w:cantSplit/>
        </w:trPr>
        <w:tc>
          <w:tcPr>
            <w:tcW w:type="dxa" w:w="311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Role</w:t>
            </w:r>
          </w:p>
        </w:tc>
        <w:tc>
          <w:tcPr>
            <w:tcW w:type="dxa" w:w="7370"/>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Responsibilities</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Laboratory Director</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 audit programme, ensure resources and review significant findings.</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Quality Manager</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Maintain audit programme, coordinate scope and follow-up, monitor closure trends.</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Lead Internal Auditor</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Plan each audit, assign auditors, conduct opening/closing activities and approve the audit report.</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Auditors</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Collect objective evidence, maintain independence, document findings and protect confidentiality.</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Process Owners</w:t>
            </w:r>
          </w:p>
        </w:tc>
        <w:tc>
          <w:tcPr>
            <w:tcW w:type="dxa" w:w="7370"/>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Provide access and evidence, evaluate findings, implement corrective actions and demonstrate effectiveness.</w:t>
            </w:r>
          </w:p>
        </w:tc>
      </w:tr>
    </w:tbl>
    <w:p>
      <w:pPr>
        <w:spacing w:after="40"/>
      </w:pPr>
    </w:p>
    <w:p>
      <w:pPr>
        <w:pStyle w:val="Heading1"/>
        <w:spacing w:before="140" w:after="80"/>
        <w:keepNext/>
      </w:pPr>
      <w:r>
        <w:t>4. Procedure</w:t>
      </w:r>
    </w:p>
    <w:tbl>
      <w:tblPr>
        <w:tblStyle w:val="TableGrid"/>
        <w:tblW w:type="auto" w:w="0"/>
        <w:jc w:val="center"/>
        <w:tblLook w:val="04A0"/>
      </w:tblPr>
      <w:tblGrid>
        <w:gridCol w:w="2339"/>
        <w:gridCol w:w="2339"/>
        <w:gridCol w:w="2339"/>
        <w:gridCol w:w="2339"/>
      </w:tblGrid>
      <w:tr>
        <w:trPr>
          <w:tblHeader w:val="true"/>
          <w:cantSplit/>
        </w:trPr>
        <w:tc>
          <w:tcPr>
            <w:tcW w:type="dxa" w:w="181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Step</w:t>
            </w:r>
          </w:p>
        </w:tc>
        <w:tc>
          <w:tcPr>
            <w:tcW w:type="dxa" w:w="2721"/>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Responsible</w:t>
            </w:r>
          </w:p>
        </w:tc>
        <w:tc>
          <w:tcPr>
            <w:tcW w:type="dxa" w:w="4932"/>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Activity</w:t>
            </w:r>
          </w:p>
        </w:tc>
        <w:tc>
          <w:tcPr>
            <w:tcW w:type="dxa" w:w="2721"/>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Output / Record</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1. Establish audit programme</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Quality Manager / Lead Auditor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Develop and maintain a risk-based programme that covers management-system and technical processes. Consider process importance, patient risk, changes, performance trends, complaints, nonconformities and previous audit results.</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Approved audit programme</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2. Define audit scope and criteria</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Lead Auditor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Define process/site/discipline scope, objectives, criteria, exclusions and sampling approach. Confirm independence and technical competence of auditors.</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Audit plan / assignment</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3. Prepare the audit</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Audit Team</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Review relevant procedures, prior findings, indicators, QC/EQA, risks, complaints and process changes. Prepare questions and evidence samples without turning the audit into a document-only review.</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Audit checklist / sampling plan</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4. Opening discussion</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Lead Auditor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Confirm scope, schedule, communication routes, confidentiality, access to records and safety requirements with the auditee.</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Opening record / confirmed plan</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5. Collect objective evidence</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Audit Team</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Interview personnel, observe work, review documents and sample records. Trace selected examinations or patient episodes end-to-end where useful. Record evidence clearly enough to support each conclusion.</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Audit notes and evidence</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6. Evaluate evidence</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Audit Team</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Compare evidence with approved criteria. Distinguish isolated documentation issues from systemic or patient-safety risks. Seek clarification before finalizing a finding.</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Draft findings</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7. Classify findings</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Lead Auditor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Classify nonconformities and opportunities using the laboratory’s approved finding model. Avoid severity labels that are not defined in the audit programme.</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Finding record</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8. Closing meeting</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Lead Auditor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Present conclusions, evidence and next steps. Confirm that findings are understood without negotiating away valid evidence. Clarify timelines for response and escalation.</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Closing record</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9. Issue audit report</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Lead Auditor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Issue a concise report describing scope, evidence basis, strengths, findings, limitations and overall conclusions.</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Approved audit report</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10. Correct and analyze</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Process Owner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Take immediate correction where required, assess patient/result impact, identify cause for significant or recurring issues and define corrective action.</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Corrective action response</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11. Verify effectiveness</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Quality Manager / Auditor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Review evidence that actions were implemented and address the cause. Re-sample practice where necessary. Do not close a finding solely because a document was revised.</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Effectiveness verification / closure</w:t>
            </w:r>
          </w:p>
        </w:tc>
      </w:tr>
      <w:tr>
        <w:trPr>
          <w:cantSplit/>
        </w:trPr>
        <w:tc>
          <w:tcPr>
            <w:tcW w:type="dxa" w:w="181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12. Review programme</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Quality Manager</w:t>
            </w:r>
          </w:p>
        </w:tc>
        <w:tc>
          <w:tcPr>
            <w:tcW w:type="dxa" w:w="4932"/>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Analyze audit completion, recurring findings, overdue actions and coverage. Update future audit priorities.</w:t>
            </w:r>
          </w:p>
        </w:tc>
        <w:tc>
          <w:tcPr>
            <w:tcW w:type="dxa" w:w="2721"/>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Programme review and management-review input</w:t>
            </w:r>
          </w:p>
        </w:tc>
      </w:tr>
    </w:tbl>
    <w:p>
      <w:pPr>
        <w:spacing w:after="40"/>
      </w:pPr>
    </w:p>
    <w:p>
      <w:pPr>
        <w:pStyle w:val="Heading1"/>
        <w:spacing w:before="140" w:after="80"/>
        <w:keepNext/>
      </w:pPr>
      <w:r>
        <w:t>5. Auditor Independence and Competence</w:t>
      </w:r>
    </w:p>
    <w:p>
      <w:pPr>
        <w:pStyle w:val="ListBullet"/>
        <w:spacing w:after="40"/>
        <w:ind w:left="283" w:hanging="142"/>
      </w:pPr>
      <w:r>
        <w:rPr>
          <w:rFonts w:ascii="Cambria" w:hAnsi="Cambria"/>
          <w:b w:val="0"/>
          <w:i w:val="0"/>
          <w:color w:val="000000"/>
          <w:sz w:val="20"/>
        </w:rPr>
        <w:t>Auditors should not audit work for which they are directly responsible where this would compromise objectivity.</w:t>
      </w:r>
    </w:p>
    <w:p>
      <w:pPr>
        <w:pStyle w:val="ListBullet"/>
        <w:spacing w:after="40"/>
        <w:ind w:left="283" w:hanging="142"/>
      </w:pPr>
      <w:r>
        <w:rPr>
          <w:rFonts w:ascii="Cambria" w:hAnsi="Cambria"/>
          <w:b w:val="0"/>
          <w:i w:val="0"/>
          <w:color w:val="000000"/>
          <w:sz w:val="20"/>
        </w:rPr>
        <w:t>Technical audits should include auditors or technical experts with sufficient understanding of the discipline to evaluate evidence competently.</w:t>
      </w:r>
    </w:p>
    <w:p>
      <w:pPr>
        <w:pStyle w:val="ListBullet"/>
        <w:spacing w:after="40"/>
        <w:ind w:left="283" w:hanging="142"/>
      </w:pPr>
      <w:r>
        <w:rPr>
          <w:rFonts w:ascii="Cambria" w:hAnsi="Cambria"/>
          <w:b w:val="0"/>
          <w:i w:val="0"/>
          <w:color w:val="000000"/>
          <w:sz w:val="20"/>
        </w:rPr>
        <w:t>Auditors should understand audit principles, laboratory process risks, confidentiality and how to document findings without unsupported opinion.</w:t>
      </w:r>
    </w:p>
    <w:p>
      <w:pPr>
        <w:pStyle w:val="ListBullet"/>
        <w:spacing w:after="40"/>
        <w:ind w:left="283" w:hanging="142"/>
      </w:pPr>
      <w:r>
        <w:rPr>
          <w:rFonts w:ascii="Cambria" w:hAnsi="Cambria"/>
          <w:b w:val="0"/>
          <w:i w:val="0"/>
          <w:color w:val="000000"/>
          <w:sz w:val="20"/>
        </w:rPr>
        <w:t>Conflicts of interest or limitations in independence should be declared and addressed before the audit.</w:t>
      </w:r>
    </w:p>
    <w:p>
      <w:pPr>
        <w:pStyle w:val="Heading1"/>
        <w:spacing w:before="140" w:after="80"/>
        <w:keepNext/>
      </w:pPr>
      <w:r>
        <w:t>6. Evidence Sampling</w:t>
      </w:r>
    </w:p>
    <w:p>
      <w:pPr>
        <w:spacing w:after="80" w:line="259" w:lineRule="auto"/>
      </w:pPr>
      <w:r>
        <w:rPr>
          <w:rFonts w:ascii="Cambria" w:hAnsi="Cambria"/>
          <w:b w:val="0"/>
          <w:i w:val="0"/>
          <w:color w:val="000000"/>
          <w:sz w:val="21"/>
        </w:rPr>
        <w:t>Sampling should be purposeful and risk-based. The audit team should normally combine document review, observation, interview and record sampling. Sample sizes should be sufficient to support the conclusion but are not intended to provide statistical assurance unless the laboratory has explicitly designed the audit that way.</w:t>
      </w:r>
    </w:p>
    <w:tbl>
      <w:tblPr>
        <w:tblStyle w:val="TableGrid"/>
        <w:tblW w:type="auto" w:w="0"/>
        <w:jc w:val="center"/>
        <w:tblLook w:val="04A0"/>
      </w:tblPr>
      <w:tblGrid>
        <w:gridCol w:w="4677"/>
        <w:gridCol w:w="4677"/>
      </w:tblGrid>
      <w:tr>
        <w:trPr>
          <w:tblHeader w:val="true"/>
          <w:cantSplit/>
        </w:trPr>
        <w:tc>
          <w:tcPr>
            <w:tcW w:type="dxa" w:w="294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Process</w:t>
            </w:r>
          </w:p>
        </w:tc>
        <w:tc>
          <w:tcPr>
            <w:tcW w:type="dxa" w:w="765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Examples of useful evidence</w:t>
            </w:r>
          </w:p>
        </w:tc>
      </w:tr>
      <w:tr>
        <w:trPr>
          <w:cantSplit/>
        </w:trPr>
        <w:tc>
          <w:tcPr>
            <w:tcW w:type="dxa" w:w="294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Personnel competence</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Qualification files, training, competence assessment, authorization, recent changed-method competence.</w:t>
            </w:r>
          </w:p>
        </w:tc>
      </w:tr>
      <w:tr>
        <w:trPr>
          <w:cantSplit/>
        </w:trPr>
        <w:tc>
          <w:tcPr>
            <w:tcW w:type="dxa" w:w="294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Equipment</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Acceptance, maintenance, calibration/verification, failures, out-of-service controls, service records.</w:t>
            </w:r>
          </w:p>
        </w:tc>
      </w:tr>
      <w:tr>
        <w:trPr>
          <w:cantSplit/>
        </w:trPr>
        <w:tc>
          <w:tcPr>
            <w:tcW w:type="dxa" w:w="294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Examination methods</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Verification/validation, current SOP, reference information, change control, staff authorization.</w:t>
            </w:r>
          </w:p>
        </w:tc>
      </w:tr>
      <w:tr>
        <w:trPr>
          <w:cantSplit/>
        </w:trPr>
        <w:tc>
          <w:tcPr>
            <w:tcW w:type="dxa" w:w="294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QC/EQA</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Recent QC trends, failure response, affected-results review, EQA/PT investigations.</w:t>
            </w:r>
          </w:p>
        </w:tc>
      </w:tr>
      <w:tr>
        <w:trPr>
          <w:cantSplit/>
        </w:trPr>
        <w:tc>
          <w:tcPr>
            <w:tcW w:type="dxa" w:w="294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Pre-examination</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Request quality, patient/specimen identification, transport, receipt, rejection and exceptions.</w:t>
            </w:r>
          </w:p>
        </w:tc>
      </w:tr>
      <w:tr>
        <w:trPr>
          <w:cantSplit/>
        </w:trPr>
        <w:tc>
          <w:tcPr>
            <w:tcW w:type="dxa" w:w="294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Post-examination</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Authorization, critical results, amended reports, turnaround monitoring.</w:t>
            </w:r>
          </w:p>
        </w:tc>
      </w:tr>
      <w:tr>
        <w:trPr>
          <w:cantSplit/>
        </w:trPr>
        <w:tc>
          <w:tcPr>
            <w:tcW w:type="dxa" w:w="294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LIS / information</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Access, change validation, audit trail, backup, downtime and interface verification.</w:t>
            </w:r>
          </w:p>
        </w:tc>
      </w:tr>
    </w:tbl>
    <w:p>
      <w:pPr>
        <w:spacing w:after="40"/>
      </w:pPr>
    </w:p>
    <w:p>
      <w:pPr>
        <w:pStyle w:val="Heading1"/>
        <w:spacing w:before="140" w:after="80"/>
        <w:keepNext/>
      </w:pPr>
      <w:r>
        <w:t>7. Finding Statements</w:t>
      </w:r>
    </w:p>
    <w:p>
      <w:pPr>
        <w:spacing w:after="80" w:line="259" w:lineRule="auto"/>
      </w:pPr>
      <w:r>
        <w:rPr>
          <w:rFonts w:ascii="Cambria" w:hAnsi="Cambria"/>
          <w:b w:val="0"/>
          <w:i w:val="0"/>
          <w:color w:val="000000"/>
          <w:sz w:val="21"/>
        </w:rPr>
        <w:t>A finding should identify the requirement or approved control, state the objective evidence and describe the gap. Avoid vague wording such as “procedure inadequate.” A useful finding enables a process owner to understand what failed and investigate why.</w:t>
      </w:r>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A finding that could affect patient safety or the validity of previously reported results should be escalated immediately; do not wait for the final audit report.</w:t>
            </w:r>
          </w:p>
        </w:tc>
      </w:tr>
    </w:tbl>
    <w:p>
      <w:pPr>
        <w:spacing w:after="20"/>
      </w:pPr>
    </w:p>
    <w:p>
      <w:pPr>
        <w:pStyle w:val="Heading1"/>
        <w:spacing w:before="140" w:after="80"/>
        <w:keepNext/>
      </w:pPr>
      <w:r>
        <w:t>8. Exceptions and Escalation</w:t>
      </w:r>
    </w:p>
    <w:p>
      <w:pPr>
        <w:pStyle w:val="ListBullet"/>
        <w:spacing w:after="40"/>
        <w:ind w:left="283" w:hanging="142"/>
      </w:pPr>
      <w:r>
        <w:rPr>
          <w:rFonts w:ascii="Cambria" w:hAnsi="Cambria"/>
          <w:b w:val="0"/>
          <w:i w:val="0"/>
          <w:color w:val="000000"/>
          <w:sz w:val="20"/>
        </w:rPr>
        <w:t>Stop or modify audit activity if it creates an unacceptable safety or service risk.</w:t>
      </w:r>
    </w:p>
    <w:p>
      <w:pPr>
        <w:pStyle w:val="ListBullet"/>
        <w:spacing w:after="40"/>
        <w:ind w:left="283" w:hanging="142"/>
      </w:pPr>
      <w:r>
        <w:rPr>
          <w:rFonts w:ascii="Cambria" w:hAnsi="Cambria"/>
          <w:b w:val="0"/>
          <w:i w:val="0"/>
          <w:color w:val="000000"/>
          <w:sz w:val="20"/>
        </w:rPr>
        <w:t>Escalate evidence of potentially invalid patient results, unauthorized practice, serious data-integrity issues or uncontrolled critical processes immediately to the appropriate laboratory authority.</w:t>
      </w:r>
    </w:p>
    <w:p>
      <w:pPr>
        <w:pStyle w:val="ListBullet"/>
        <w:spacing w:after="40"/>
        <w:ind w:left="283" w:hanging="142"/>
      </w:pPr>
      <w:r>
        <w:rPr>
          <w:rFonts w:ascii="Cambria" w:hAnsi="Cambria"/>
          <w:b w:val="0"/>
          <w:i w:val="0"/>
          <w:color w:val="000000"/>
          <w:sz w:val="20"/>
        </w:rPr>
        <w:t>Document scope limitations when records, staff, systems or physical access were unavailable.</w:t>
      </w:r>
    </w:p>
    <w:p>
      <w:pPr>
        <w:pStyle w:val="ListBullet"/>
        <w:spacing w:after="40"/>
        <w:ind w:left="283" w:hanging="142"/>
      </w:pPr>
      <w:r>
        <w:rPr>
          <w:rFonts w:ascii="Cambria" w:hAnsi="Cambria"/>
          <w:b w:val="0"/>
          <w:i w:val="0"/>
          <w:color w:val="000000"/>
          <w:sz w:val="20"/>
        </w:rPr>
        <w:t>Use an appropriately competent technical expert if the assigned audit team cannot evaluate a specialist process.</w:t>
      </w:r>
    </w:p>
    <w:p>
      <w:pPr>
        <w:pStyle w:val="Heading1"/>
        <w:spacing w:before="140" w:after="80"/>
        <w:keepNext/>
      </w:pPr>
      <w:r>
        <w:t>9. Records</w:t>
      </w:r>
    </w:p>
    <w:p>
      <w:pPr>
        <w:pStyle w:val="ListBullet"/>
        <w:spacing w:after="40"/>
        <w:ind w:left="283" w:hanging="142"/>
      </w:pPr>
      <w:r>
        <w:rPr>
          <w:rFonts w:ascii="Cambria" w:hAnsi="Cambria"/>
          <w:b w:val="0"/>
          <w:i w:val="0"/>
          <w:color w:val="000000"/>
          <w:sz w:val="20"/>
        </w:rPr>
        <w:t>Internal audit programme and schedule.</w:t>
      </w:r>
    </w:p>
    <w:p>
      <w:pPr>
        <w:pStyle w:val="ListBullet"/>
        <w:spacing w:after="40"/>
        <w:ind w:left="283" w:hanging="142"/>
      </w:pPr>
      <w:r>
        <w:rPr>
          <w:rFonts w:ascii="Cambria" w:hAnsi="Cambria"/>
          <w:b w:val="0"/>
          <w:i w:val="0"/>
          <w:color w:val="000000"/>
          <w:sz w:val="20"/>
        </w:rPr>
        <w:t>Audit plans, checklists, notes and sampled evidence references.</w:t>
      </w:r>
    </w:p>
    <w:p>
      <w:pPr>
        <w:pStyle w:val="ListBullet"/>
        <w:spacing w:after="40"/>
        <w:ind w:left="283" w:hanging="142"/>
      </w:pPr>
      <w:r>
        <w:rPr>
          <w:rFonts w:ascii="Cambria" w:hAnsi="Cambria"/>
          <w:b w:val="0"/>
          <w:i w:val="0"/>
          <w:color w:val="000000"/>
          <w:sz w:val="20"/>
        </w:rPr>
        <w:t>Audit reports and finding records.</w:t>
      </w:r>
    </w:p>
    <w:p>
      <w:pPr>
        <w:pStyle w:val="ListBullet"/>
        <w:spacing w:after="40"/>
        <w:ind w:left="283" w:hanging="142"/>
      </w:pPr>
      <w:r>
        <w:rPr>
          <w:rFonts w:ascii="Cambria" w:hAnsi="Cambria"/>
          <w:b w:val="0"/>
          <w:i w:val="0"/>
          <w:color w:val="000000"/>
          <w:sz w:val="20"/>
        </w:rPr>
        <w:t>Corrective action responses and effectiveness-verification evidence.</w:t>
      </w:r>
    </w:p>
    <w:p>
      <w:pPr>
        <w:pStyle w:val="ListBullet"/>
        <w:spacing w:after="40"/>
        <w:ind w:left="283" w:hanging="142"/>
      </w:pPr>
      <w:r>
        <w:rPr>
          <w:rFonts w:ascii="Cambria" w:hAnsi="Cambria"/>
          <w:b w:val="0"/>
          <w:i w:val="0"/>
          <w:color w:val="000000"/>
          <w:sz w:val="20"/>
        </w:rPr>
        <w:t>Auditor competence and authorization records.</w:t>
      </w:r>
    </w:p>
    <w:p>
      <w:pPr>
        <w:pStyle w:val="ListBullet"/>
        <w:spacing w:after="40"/>
        <w:ind w:left="283" w:hanging="142"/>
      </w:pPr>
      <w:r>
        <w:rPr>
          <w:rFonts w:ascii="Cambria" w:hAnsi="Cambria"/>
          <w:b w:val="0"/>
          <w:i w:val="0"/>
          <w:color w:val="000000"/>
          <w:sz w:val="20"/>
        </w:rPr>
        <w:t>Audit programme review and trend information.</w:t>
      </w:r>
    </w:p>
    <w:p>
      <w:pPr>
        <w:pStyle w:val="Heading1"/>
        <w:spacing w:before="140" w:after="80"/>
        <w:keepNext/>
      </w:pPr>
      <w:r>
        <w:t>10. Related Documents</w:t>
      </w:r>
    </w:p>
    <w:p>
      <w:pPr>
        <w:pStyle w:val="ListBullet"/>
        <w:spacing w:after="40"/>
        <w:ind w:left="283" w:hanging="142"/>
      </w:pPr>
      <w:r>
        <w:rPr>
          <w:rFonts w:ascii="Cambria" w:hAnsi="Cambria"/>
          <w:b w:val="0"/>
          <w:i w:val="0"/>
          <w:color w:val="000000"/>
          <w:sz w:val="20"/>
        </w:rPr>
        <w:t>LQMS Document Map.</w:t>
      </w:r>
    </w:p>
    <w:p>
      <w:pPr>
        <w:pStyle w:val="ListBullet"/>
        <w:spacing w:after="40"/>
        <w:ind w:left="283" w:hanging="142"/>
      </w:pPr>
      <w:r>
        <w:rPr>
          <w:rFonts w:ascii="Cambria" w:hAnsi="Cambria"/>
          <w:b w:val="0"/>
          <w:i w:val="0"/>
          <w:color w:val="000000"/>
          <w:sz w:val="20"/>
        </w:rPr>
        <w:t>Nonconforming Work &amp; Corrective Action Procedure.</w:t>
      </w:r>
    </w:p>
    <w:p>
      <w:pPr>
        <w:pStyle w:val="ListBullet"/>
        <w:spacing w:after="40"/>
        <w:ind w:left="283" w:hanging="142"/>
      </w:pPr>
      <w:r>
        <w:rPr>
          <w:rFonts w:ascii="Cambria" w:hAnsi="Cambria"/>
          <w:b w:val="0"/>
          <w:i w:val="0"/>
          <w:color w:val="000000"/>
          <w:sz w:val="20"/>
        </w:rPr>
        <w:t>Risk &amp; Opportunity Management Procedure.</w:t>
      </w:r>
    </w:p>
    <w:p>
      <w:pPr>
        <w:pStyle w:val="ListBullet"/>
        <w:spacing w:after="40"/>
        <w:ind w:left="283" w:hanging="142"/>
      </w:pPr>
      <w:r>
        <w:rPr>
          <w:rFonts w:ascii="Cambria" w:hAnsi="Cambria"/>
          <w:b w:val="0"/>
          <w:i w:val="0"/>
          <w:color w:val="000000"/>
          <w:sz w:val="20"/>
        </w:rPr>
        <w:t>Management Review Procedure.</w:t>
      </w:r>
    </w:p>
    <w:p>
      <w:pPr>
        <w:pStyle w:val="ListBullet"/>
        <w:spacing w:after="40"/>
        <w:ind w:left="283" w:hanging="142"/>
      </w:pPr>
      <w:r>
        <w:rPr>
          <w:rFonts w:ascii="Cambria" w:hAnsi="Cambria"/>
          <w:b w:val="0"/>
          <w:i w:val="0"/>
          <w:color w:val="000000"/>
          <w:sz w:val="20"/>
        </w:rPr>
        <w:t>Internal Laboratory Audit Checklist / Report.</w:t>
      </w:r>
    </w:p>
    <w:p>
      <w:pPr>
        <w:pStyle w:val="Heading1"/>
        <w:spacing w:before="140" w:after="80"/>
        <w:keepNext/>
      </w:pPr>
      <w:r>
        <w:t>References</w:t>
      </w:r>
    </w:p>
    <w:tbl>
      <w:tblPr>
        <w:tblStyle w:val="TableGrid"/>
        <w:tblW w:type="auto" w:w="0"/>
        <w:jc w:val="center"/>
        <w:tblLook w:val="04A0"/>
      </w:tblPr>
      <w:tblGrid>
        <w:gridCol w:w="3118"/>
        <w:gridCol w:w="3118"/>
        <w:gridCol w:w="3118"/>
      </w:tblGrid>
      <w:tr>
        <w:trPr>
          <w:tblHeader w:val="true"/>
          <w:cantSplit/>
        </w:trPr>
        <w:tc>
          <w:tcPr>
            <w:tcW w:type="dxa" w:w="192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Reference</w:t>
            </w:r>
          </w:p>
        </w:tc>
        <w:tc>
          <w:tcPr>
            <w:tcW w:type="dxa" w:w="5216"/>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Title</w:t>
            </w:r>
          </w:p>
        </w:tc>
        <w:tc>
          <w:tcPr>
            <w:tcW w:type="dxa" w:w="351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Official source</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ISO 15189:2022</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Medical laboratories — Requirements for quality and competence</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https://www.iso.org/standard/76677.html</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ISO 22367:2026</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Medical laboratories — Application of risk management to medical laboratories</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https://www.iso.org/standard/87738.html</w:t>
            </w:r>
          </w:p>
        </w:tc>
      </w:tr>
    </w:tbl>
    <w:p>
      <w:pPr>
        <w:spacing w:after="40"/>
      </w:pPr>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Use the organization’s authorized copy of the applicable standard as the definitive reference. This document paraphrases requirements and does not reproduce the standard text.</w:t>
            </w:r>
          </w:p>
        </w:tc>
      </w:tr>
    </w:tbl>
    <w:p>
      <w:pPr>
        <w:spacing w:after="20"/>
      </w:pPr>
    </w:p>
    <w:p>
      <w:pPr>
        <w:pStyle w:val="Heading1"/>
        <w:spacing w:before="140" w:after="80"/>
        <w:keepNext/>
      </w:pPr>
      <w:r>
        <w:t>Revision and Approval</w:t>
      </w:r>
    </w:p>
    <w:tbl>
      <w:tblPr>
        <w:tblStyle w:val="TableGrid"/>
        <w:tblW w:type="auto" w:w="0"/>
        <w:jc w:val="center"/>
        <w:tblLook w:val="04A0"/>
      </w:tblPr>
      <w:tblGrid>
        <w:gridCol w:w="2339"/>
        <w:gridCol w:w="2339"/>
        <w:gridCol w:w="2339"/>
        <w:gridCol w:w="2339"/>
      </w:tblGrid>
      <w:tr>
        <w:trPr>
          <w:tblHeader w:val="true"/>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Version</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Date</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Description</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Approval Status</w:t>
            </w:r>
          </w:p>
        </w:tc>
      </w:tr>
      <w:tr>
        <w:trPr>
          <w:cantSplit/>
        </w:trPr>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1.0</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2026-09-19</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Initial issue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Approved / [STATUS]</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Prepared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Reviewed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Approval Date</w:t>
            </w:r>
          </w:p>
        </w:tc>
      </w:tr>
      <w:tr>
        <w:trPr>
          <w:cantSplit/>
        </w:trPr>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[DOCUMENT OWNER]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[REVIEWER]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[DATE]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b w:val="0"/>
        <w:i w:val="0"/>
        <w:color w:val="666666"/>
        <w:sz w:val="16"/>
      </w:rPr>
      <w:t>ISO TOOLKITS DOCUMENT | www.iso-toolkits.org | info@iso-toolkits.org | INTERNAL</w:t>
    </w:r>
  </w:p>
  <w:p>
    <w:pPr>
      <w:jc w:val="center"/>
    </w:pPr>
    <w:r>
      <w:rPr>
        <w:rFonts w:ascii="Cambria" w:hAnsi="Cambria"/>
        <w:color w:val="666666"/>
        <w:sz w:val="16"/>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ook w:val="04A0"/>
    </w:tblPr>
    <w:tblGrid>
      <w:gridCol w:w="3118"/>
      <w:gridCol w:w="3118"/>
      <w:gridCol w:w="3118"/>
    </w:tblGrid>
    <w:t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ORGANIZATION</w:t>
            <w:br/>
            <w:t>LOGO</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40" w:type="dxa"/>
            <w:left w:w="50" w:type="dxa"/>
            <w:bottom w:w="40" w:type="dxa"/>
            <w:right w:w="50" w:type="dxa"/>
          </w:tcMar>
        </w:tcPr>
        <w:p>
          <w:pPr>
            <w:jc w:val="center"/>
          </w:pPr>
          <w:r>
            <w:rPr>
              <w:rFonts w:ascii="Cambria" w:hAnsi="Cambria"/>
              <w:b/>
              <w:i w:val="0"/>
              <w:color w:val="1F4E79"/>
              <w:sz w:val="16"/>
            </w:rPr>
            <w:t>[ORGANIZATION NAME]</w:t>
            <w:br/>
            <w:t>Internal Laboratory Audit Procedure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LQMS-PRO-001</w:t>
            <w:br/>
            <w:t>Version 1.0</w:t>
            <w:br/>
            <w:t>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mbria" w:hAnsi="Cambr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Laboratory Audit Procedure</dc:title>
  <dc:subject>ISO 15189:2022 — Medical laboratories — Requirements for quality and competence toolkit document</dc:subject>
  <dc:creator>ISO Toolkits</dc:creator>
  <cp:keywords>ISO 15189, medical laboratory, LQMS, quality, competence, accreditation</cp:keywords>
  <dc:description>Professional ISO 15189 toolkit document. Website: www.iso-toolkits.org; Email: info@iso-toolkits.org</dc:description>
  <cp:lastModifiedBy/>
  <cp:revision>1</cp:revision>
  <dcterms:created xsi:type="dcterms:W3CDTF">2013-12-23T23:15:00Z</dcterms:created>
  <dcterms:modified xsi:type="dcterms:W3CDTF">2013-12-23T23:15:00Z</dcterms:modified>
  <cp:category/>
</cp:coreProperties>
</file>