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480" w:after="160"/>
        <w:jc w:val="center"/>
      </w:pPr>
      <w:r>
        <w:rPr>
          <w:rFonts w:ascii="Cambria" w:hAnsi="Cambria" w:eastAsia="Cambria"/>
          <w:b/>
          <w:i w:val="0"/>
          <w:color w:val="1F4E79"/>
          <w:sz w:val="40"/>
        </w:rPr>
        <w:t>Documented Information Procedure</w:t>
      </w:r>
    </w:p>
    <w:p>
      <w:pPr>
        <w:spacing w:after="360"/>
        <w:jc w:val="center"/>
      </w:pPr>
      <w:r>
        <w:rPr>
          <w:rFonts w:ascii="Cambria" w:hAnsi="Cambria" w:eastAsia="Cambria"/>
          <w:b/>
          <w:i w:val="0"/>
          <w:color w:val="000000"/>
          <w:sz w:val="22"/>
        </w:rPr>
        <w:t>ISO 15189:2022 | Procedure</w:t>
      </w:r>
    </w:p>
    <w:tbl>
      <w:tblPr>
        <w:tblStyle w:val="TableGrid"/>
        <w:tblW w:type="auto" w:w="0"/>
        <w:jc w:val="center"/>
        <w:tblLook w:val="04A0"/>
      </w:tblPr>
      <w:tblGrid>
        <w:gridCol w:w="2339"/>
        <w:gridCol w:w="2339"/>
        <w:gridCol w:w="2339"/>
        <w:gridCol w:w="2339"/>
      </w:tblGrid>
      <w:tr>
        <w:trPr>
          <w:tblHeader w:val="true"/>
        </w:trPr>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Code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LQMS-PRO-001</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Version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Effective Date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2026-09-19</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Classification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INTERNAL</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Owner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[QUALITY MANAGER / DOCUMENT CONTROLLER]</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Approver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[LABORATORY DIRECTOR]</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Review Cycle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[ANNUAL / UPON CHANGE]</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 DATE]</w:t>
            </w:r>
          </w:p>
        </w:tc>
      </w:tr>
    </w:tbl>
    <w:p>
      <w:pPr>
        <w:spacing w:before="0" w:after="0" w:line="252" w:lineRule="auto"/>
      </w:pP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Replace organization-specific placeholders before controlled release.</w:t>
            </w:r>
          </w:p>
        </w:tc>
      </w:tr>
    </w:tbl>
    <w:p>
      <w:pPr>
        <w:jc w:val="center"/>
      </w:pPr>
      <w:r>
        <w:rPr>
          <w:rFonts w:ascii="Cambria" w:hAnsi="Cambria" w:eastAsia="Cambria"/>
          <w:b/>
          <w:i w:val="0"/>
          <w:color w:val="666666"/>
          <w:sz w:val="17"/>
        </w:rPr>
        <w:t>ISO TOOLKITS DOCUMENT</w:t>
      </w:r>
    </w:p>
    <w:p>
      <w:pPr>
        <w:jc w:val="center"/>
      </w:pPr>
      <w:r>
        <w:rPr>
          <w:rFonts w:ascii="Calibri" w:hAnsi="Calibri" w:eastAsia="Calibri"/>
          <w:b w:val="0"/>
          <w:i w:val="0"/>
          <w:color w:val="666666"/>
          <w:sz w:val="17"/>
        </w:rPr>
        <w:t>www.iso-toolkits.org | info@iso-toolkits.org</w:t>
      </w:r>
    </w:p>
    <w:p>
      <w:r>
        <w:br w:type="page"/>
      </w:r>
    </w:p>
    <w:p>
      <w:pPr>
        <w:keepNext/>
        <w:spacing w:before="180" w:after="80"/>
        <w:pBdr>
          <w:bottom w:val="single" w:sz="8" w:space="2" w:color="D9EAF7"/>
        </w:pBdr>
      </w:pPr>
      <w:r>
        <w:rPr>
          <w:rFonts w:ascii="Cambria" w:hAnsi="Cambria" w:eastAsia="Cambria"/>
          <w:b/>
          <w:i w:val="0"/>
          <w:color w:val="000000"/>
          <w:sz w:val="25"/>
        </w:rPr>
        <w:t>1. Purpose</w:t>
      </w:r>
    </w:p>
    <w:p>
      <w:pPr>
        <w:spacing w:before="0" w:after="80" w:line="252" w:lineRule="auto"/>
      </w:pPr>
      <w:r>
        <w:rPr>
          <w:rFonts w:ascii="Cambria" w:hAnsi="Cambria" w:eastAsia="Cambria"/>
          <w:b w:val="0"/>
          <w:i w:val="0"/>
          <w:color w:val="000000"/>
          <w:sz w:val="21"/>
        </w:rPr>
        <w:t>To ensure that laboratory documented information is created, reviewed, approved, available, protected, changed and retained in a controlled manner so that personnel use current information and records remain reliable and traceable.</w:t>
      </w:r>
    </w:p>
    <w:p>
      <w:pPr>
        <w:keepNext/>
        <w:spacing w:before="180" w:after="80"/>
        <w:pBdr>
          <w:bottom w:val="single" w:sz="8" w:space="2" w:color="D9EAF7"/>
        </w:pBdr>
      </w:pPr>
      <w:r>
        <w:rPr>
          <w:rFonts w:ascii="Cambria" w:hAnsi="Cambria" w:eastAsia="Cambria"/>
          <w:b/>
          <w:i w:val="0"/>
          <w:color w:val="000000"/>
          <w:sz w:val="25"/>
        </w:rPr>
        <w:t>2. Scope</w:t>
      </w:r>
    </w:p>
    <w:p>
      <w:pPr>
        <w:spacing w:before="0" w:after="80" w:line="252" w:lineRule="auto"/>
      </w:pPr>
      <w:r>
        <w:rPr>
          <w:rFonts w:ascii="Cambria" w:hAnsi="Cambria" w:eastAsia="Cambria"/>
          <w:b w:val="0"/>
          <w:i w:val="0"/>
          <w:color w:val="000000"/>
          <w:sz w:val="21"/>
        </w:rPr>
        <w:t>This procedure applies to management-system documents, technical procedures, forms, records, externally controlled information and electronic information used to operate the laboratory. It includes information maintained in the laboratory information system (LIS) or other validated electronic platforms when those systems contain controlled documents or quality records.</w:t>
      </w:r>
    </w:p>
    <w:p>
      <w:pPr>
        <w:keepNext/>
        <w:spacing w:before="180" w:after="80"/>
        <w:pBdr>
          <w:bottom w:val="single" w:sz="8" w:space="2" w:color="D9EAF7"/>
        </w:pBdr>
      </w:pPr>
      <w:r>
        <w:rPr>
          <w:rFonts w:ascii="Cambria" w:hAnsi="Cambria" w:eastAsia="Cambria"/>
          <w:b/>
          <w:i w:val="0"/>
          <w:color w:val="000000"/>
          <w:sz w:val="25"/>
        </w:rPr>
        <w:t>3. Responsibilities</w:t>
      </w:r>
    </w:p>
    <w:tbl>
      <w:tblPr>
        <w:tblStyle w:val="TableGrid"/>
        <w:tblW w:type="auto" w:w="0"/>
        <w:jc w:val="center"/>
        <w:tblLook w:val="04A0"/>
      </w:tblPr>
      <w:tblGrid>
        <w:gridCol w:w="4677"/>
        <w:gridCol w:w="4677"/>
      </w:tblGrid>
      <w:tr>
        <w:trPr>
          <w:tblHeader w:val="true"/>
        </w:trPr>
        <w:tc>
          <w:tcPr>
            <w:tcW w:type="dxa" w:w="272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Role</w:t>
            </w:r>
          </w:p>
        </w:tc>
        <w:tc>
          <w:tcPr>
            <w:tcW w:type="dxa" w:w="635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Responsibility</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Laboratory Director</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Approves high-level controlled documents and ensures appropriate authority is defined.</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Quality Manager / Document Controller</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Maintains the document-control process, master register and periodic review status.</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Process / Technical Owners</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Draft, review and maintain documents for their processes; verify technical accuracy.</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Authorized Approvers</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Approve documents before issue and significant revision.</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All Users</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Use current approved information, protect records and report obsolete or incorrect information.</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IT / LIS Administrator</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Supports access control, backup, availability, audit trails and recovery for relevant electronic systems.</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4. Procedure</w:t>
      </w:r>
    </w:p>
    <w:tbl>
      <w:tblPr>
        <w:tblStyle w:val="TableGrid"/>
        <w:tblW w:type="auto" w:w="0"/>
        <w:jc w:val="center"/>
        <w:tblLook w:val="04A0"/>
      </w:tblPr>
      <w:tblGrid>
        <w:gridCol w:w="2339"/>
        <w:gridCol w:w="2339"/>
        <w:gridCol w:w="2339"/>
        <w:gridCol w:w="2339"/>
      </w:tblGrid>
      <w:tr>
        <w:trPr>
          <w:tblHeader w:val="true"/>
        </w:trPr>
        <w:tc>
          <w:tcPr>
            <w:tcW w:type="dxa" w:w="73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Step</w:t>
            </w:r>
          </w:p>
        </w:tc>
        <w:tc>
          <w:tcPr>
            <w:tcW w:type="dxa" w:w="255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Responsible</w:t>
            </w:r>
          </w:p>
        </w:tc>
        <w:tc>
          <w:tcPr>
            <w:tcW w:type="dxa" w:w="4535"/>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Activity</w:t>
            </w:r>
          </w:p>
        </w:tc>
        <w:tc>
          <w:tcPr>
            <w:tcW w:type="dxa" w:w="215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Output / Record</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1</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Process / Technical Owner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Identify the need for a new document or change based on process design, method change, risk, incident, audit, regulatory change or improvement.</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Document request / change need</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2</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Process / Technical Owner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Draft the document using the approved template and clear user-focused language. Identify required records, responsibilities and approval level.</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Draft document</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3</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Reviewer(s)</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Review technical accuracy, process alignment, interfaces, safety/patient implications and consistency with related documents.</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Review comments / revised draft</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4</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Authorized Approver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Approve before controlled issue. Approval may be electronic if identity, authority and date are traceable.</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Approved document</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5</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Document Controller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Assign or confirm document code, title, version, effective date, owner and controlled status. Update the master register.</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Master document register</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6</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Document Controller / System Administrator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Publish only the approved version to the controlled point of use. Restrict unauthorized editing where appropriate.</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Controlled publication</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7</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Process Owner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Communicate or train affected personnel before or at implementation when the change affects work practice or competence.</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Training / communication evidence</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8</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All Users</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Use current approved information. Report outdated, damaged or conflicting documents immediately.</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Issue / escalation record if needed</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9</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Document Controller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Control external documents needed for laboratory work, including source, current revision and access location.</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External document register / controlled access</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10</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Process Owner + Document Controller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Review and revise controlled documents after defined changes or at the approved review interval. Record the reason for significant change.</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Approved revision / history</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11</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Document Controller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Withdraw obsolete versions from points of use. Retain superseded copies only when required for traceability and mark them clearly as obsolete.</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Obsolete archive / withdrawal record</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12</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Record Owner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Create records at the time work is performed; preserve legibility, identity, date/time, traceability and authorized correction history.</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Quality / technical record</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13</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Record Owner + Quality Manager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Apply retention, storage, confidentiality, retrieval and disposition requirements based on legal, regulatory, accreditation and organizational needs.</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Retention controls / disposition evidence</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14</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IT / LIS Administrator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Protect relevant electronic information using access control, backup, recovery, audit trails and change management appropriate to system risk.</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System administration evidence</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5. Document Identification and Version Control</w:t>
      </w:r>
    </w:p>
    <w:tbl>
      <w:tblPr>
        <w:tblStyle w:val="TableGrid"/>
        <w:tblW w:type="auto" w:w="0"/>
        <w:jc w:val="center"/>
        <w:tblLook w:val="04A0"/>
      </w:tblPr>
      <w:tblGrid>
        <w:gridCol w:w="4677"/>
        <w:gridCol w:w="4677"/>
      </w:tblGrid>
      <w:tr>
        <w:trPr>
          <w:tblHeader w:val="true"/>
        </w:trPr>
        <w:tc>
          <w:tcPr>
            <w:tcW w:type="dxa" w:w="249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Control</w:t>
            </w:r>
          </w:p>
        </w:tc>
        <w:tc>
          <w:tcPr>
            <w:tcW w:type="dxa" w:w="6576"/>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Minimum expectation</w:t>
            </w:r>
          </w:p>
        </w:tc>
      </w:tr>
      <w:tr>
        <w:trPr>
          <w:cantSplit/>
        </w:trPr>
        <w:tc>
          <w:tcPr>
            <w:tcW w:type="dxa" w:w="249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Identification</w:t>
            </w:r>
          </w:p>
        </w:tc>
        <w:tc>
          <w:tcPr>
            <w:tcW w:type="dxa" w:w="657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Clear title, document code where used, version/revision and effective date.</w:t>
            </w:r>
          </w:p>
        </w:tc>
      </w:tr>
      <w:tr>
        <w:trPr>
          <w:cantSplit/>
        </w:trPr>
        <w:tc>
          <w:tcPr>
            <w:tcW w:type="dxa" w:w="249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Ownership</w:t>
            </w:r>
          </w:p>
        </w:tc>
        <w:tc>
          <w:tcPr>
            <w:tcW w:type="dxa" w:w="657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Named role responsible for content and periodic review.</w:t>
            </w:r>
          </w:p>
        </w:tc>
      </w:tr>
      <w:tr>
        <w:trPr>
          <w:cantSplit/>
        </w:trPr>
        <w:tc>
          <w:tcPr>
            <w:tcW w:type="dxa" w:w="249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Approval</w:t>
            </w:r>
          </w:p>
        </w:tc>
        <w:tc>
          <w:tcPr>
            <w:tcW w:type="dxa" w:w="657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Traceable approval before release.</w:t>
            </w:r>
          </w:p>
        </w:tc>
      </w:tr>
      <w:tr>
        <w:trPr>
          <w:cantSplit/>
        </w:trPr>
        <w:tc>
          <w:tcPr>
            <w:tcW w:type="dxa" w:w="249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Change control</w:t>
            </w:r>
          </w:p>
        </w:tc>
        <w:tc>
          <w:tcPr>
            <w:tcW w:type="dxa" w:w="657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Revision reason and impact assessed for significant changes.</w:t>
            </w:r>
          </w:p>
        </w:tc>
      </w:tr>
      <w:tr>
        <w:trPr>
          <w:cantSplit/>
        </w:trPr>
        <w:tc>
          <w:tcPr>
            <w:tcW w:type="dxa" w:w="249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Point of use</w:t>
            </w:r>
          </w:p>
        </w:tc>
        <w:tc>
          <w:tcPr>
            <w:tcW w:type="dxa" w:w="657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Current approved version is accessible where work is performed.</w:t>
            </w:r>
          </w:p>
        </w:tc>
      </w:tr>
      <w:tr>
        <w:trPr>
          <w:cantSplit/>
        </w:trPr>
        <w:tc>
          <w:tcPr>
            <w:tcW w:type="dxa" w:w="249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Obsolete copies</w:t>
            </w:r>
          </w:p>
        </w:tc>
        <w:tc>
          <w:tcPr>
            <w:tcW w:type="dxa" w:w="657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Prevent unintended use; retain only when traceability or requirement justifies retention.</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6. Record Corrections and Data Integrity</w:t>
      </w:r>
    </w:p>
    <w:p>
      <w:pPr>
        <w:spacing w:before="0" w:after="80" w:line="252" w:lineRule="auto"/>
      </w:pPr>
      <w:r>
        <w:rPr>
          <w:rFonts w:ascii="Cambria" w:hAnsi="Cambria" w:eastAsia="Cambria"/>
          <w:b w:val="0"/>
          <w:i w:val="0"/>
          <w:color w:val="000000"/>
          <w:sz w:val="21"/>
        </w:rPr>
        <w:t>Corrections must preserve the original information or an auditable history when required. Paper records should not be obscured in a way that destroys traceability. Electronic systems should retain appropriate audit trails or equivalent traceability for changes to controlled records.</w:t>
      </w: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Retention periods should not be copied from generic templates. Define them from applicable legal, regulatory, accreditation, clinical, contractual and organizational requirements.</w:t>
            </w:r>
          </w:p>
        </w:tc>
      </w:tr>
    </w:tbl>
    <w:p>
      <w:pPr>
        <w:keepNext/>
        <w:spacing w:before="180" w:after="80"/>
        <w:pBdr>
          <w:bottom w:val="single" w:sz="8" w:space="2" w:color="D9EAF7"/>
        </w:pBdr>
      </w:pPr>
      <w:r>
        <w:rPr>
          <w:rFonts w:ascii="Cambria" w:hAnsi="Cambria" w:eastAsia="Cambria"/>
          <w:b/>
          <w:i w:val="0"/>
          <w:color w:val="000000"/>
          <w:sz w:val="25"/>
        </w:rPr>
        <w:t>7. Exceptions and Escalation</w:t>
      </w:r>
    </w:p>
    <w:tbl>
      <w:tblPr>
        <w:tblStyle w:val="TableGrid"/>
        <w:tblW w:type="auto" w:w="0"/>
        <w:jc w:val="center"/>
        <w:tblLook w:val="04A0"/>
      </w:tblPr>
      <w:tblGrid>
        <w:gridCol w:w="4677"/>
        <w:gridCol w:w="4677"/>
      </w:tblGrid>
      <w:tr>
        <w:trPr>
          <w:tblHeader w:val="true"/>
        </w:trPr>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Situation</w:t>
            </w:r>
          </w:p>
        </w:tc>
        <w:tc>
          <w:tcPr>
            <w:tcW w:type="dxa" w:w="5953"/>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Required response</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Current document unavailable at point of use</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Stop or safely control affected work as appropriate; provide authorized current information and report the access failure.</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Conflicting controlled instructions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Escalate to the process owner before continuing unless an approved contingency applies.</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Unauthorized or unexplained record change</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Preserve evidence, restrict further changes where necessary and escalate through quality / information governance.</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Major LIS / document-system outage</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Apply the approved downtime or contingency process and reconcile records after restoration.</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8. Records</w:t>
      </w:r>
    </w:p>
    <w:p>
      <w:pPr>
        <w:pStyle w:val="ListBullet"/>
        <w:spacing w:before="0" w:after="40" w:line="252" w:lineRule="auto"/>
      </w:pPr>
      <w:r>
        <w:rPr>
          <w:rFonts w:ascii="Cambria" w:hAnsi="Cambria" w:eastAsia="Cambria"/>
          <w:b w:val="0"/>
          <w:i w:val="0"/>
          <w:color w:val="000000"/>
          <w:sz w:val="20"/>
        </w:rPr>
        <w:t>Master document register</w:t>
      </w:r>
    </w:p>
    <w:p>
      <w:pPr>
        <w:pStyle w:val="ListBullet"/>
        <w:spacing w:before="0" w:after="40" w:line="252" w:lineRule="auto"/>
      </w:pPr>
      <w:r>
        <w:rPr>
          <w:rFonts w:ascii="Cambria" w:hAnsi="Cambria" w:eastAsia="Cambria"/>
          <w:b w:val="0"/>
          <w:i w:val="0"/>
          <w:color w:val="000000"/>
          <w:sz w:val="20"/>
        </w:rPr>
        <w:t>Document approval / revision records</w:t>
      </w:r>
    </w:p>
    <w:p>
      <w:pPr>
        <w:pStyle w:val="ListBullet"/>
        <w:spacing w:before="0" w:after="40" w:line="252" w:lineRule="auto"/>
      </w:pPr>
      <w:r>
        <w:rPr>
          <w:rFonts w:ascii="Cambria" w:hAnsi="Cambria" w:eastAsia="Cambria"/>
          <w:b w:val="0"/>
          <w:i w:val="0"/>
          <w:color w:val="000000"/>
          <w:sz w:val="20"/>
        </w:rPr>
        <w:t>External document register where used</w:t>
      </w:r>
    </w:p>
    <w:p>
      <w:pPr>
        <w:pStyle w:val="ListBullet"/>
        <w:spacing w:before="0" w:after="40" w:line="252" w:lineRule="auto"/>
      </w:pPr>
      <w:r>
        <w:rPr>
          <w:rFonts w:ascii="Cambria" w:hAnsi="Cambria" w:eastAsia="Cambria"/>
          <w:b w:val="0"/>
          <w:i w:val="0"/>
          <w:color w:val="000000"/>
          <w:sz w:val="20"/>
        </w:rPr>
        <w:t>Training / communication evidence</w:t>
      </w:r>
    </w:p>
    <w:p>
      <w:pPr>
        <w:pStyle w:val="ListBullet"/>
        <w:spacing w:before="0" w:after="40" w:line="252" w:lineRule="auto"/>
      </w:pPr>
      <w:r>
        <w:rPr>
          <w:rFonts w:ascii="Cambria" w:hAnsi="Cambria" w:eastAsia="Cambria"/>
          <w:b w:val="0"/>
          <w:i w:val="0"/>
          <w:color w:val="000000"/>
          <w:sz w:val="20"/>
        </w:rPr>
        <w:t>Obsolete document archive where required</w:t>
      </w:r>
    </w:p>
    <w:p>
      <w:pPr>
        <w:pStyle w:val="ListBullet"/>
        <w:spacing w:before="0" w:after="40" w:line="252" w:lineRule="auto"/>
      </w:pPr>
      <w:r>
        <w:rPr>
          <w:rFonts w:ascii="Cambria" w:hAnsi="Cambria" w:eastAsia="Cambria"/>
          <w:b w:val="0"/>
          <w:i w:val="0"/>
          <w:color w:val="000000"/>
          <w:sz w:val="20"/>
        </w:rPr>
        <w:t>Record retention and disposition evidence</w:t>
      </w:r>
    </w:p>
    <w:p>
      <w:pPr>
        <w:pStyle w:val="ListBullet"/>
        <w:spacing w:before="0" w:after="40" w:line="252" w:lineRule="auto"/>
      </w:pPr>
      <w:r>
        <w:rPr>
          <w:rFonts w:ascii="Cambria" w:hAnsi="Cambria" w:eastAsia="Cambria"/>
          <w:b w:val="0"/>
          <w:i w:val="0"/>
          <w:color w:val="000000"/>
          <w:sz w:val="20"/>
        </w:rPr>
        <w:t>Electronic-system access / backup / recovery evidence where applicable</w:t>
      </w:r>
    </w:p>
    <w:p>
      <w:pPr>
        <w:keepNext/>
        <w:spacing w:before="180" w:after="80"/>
        <w:pBdr>
          <w:bottom w:val="single" w:sz="8" w:space="2" w:color="D9EAF7"/>
        </w:pBdr>
      </w:pPr>
      <w:r>
        <w:rPr>
          <w:rFonts w:ascii="Cambria" w:hAnsi="Cambria" w:eastAsia="Cambria"/>
          <w:b/>
          <w:i w:val="0"/>
          <w:color w:val="000000"/>
          <w:sz w:val="25"/>
        </w:rPr>
        <w:t>9. Related Documents</w:t>
      </w:r>
    </w:p>
    <w:p>
      <w:pPr>
        <w:pStyle w:val="ListBullet"/>
        <w:spacing w:before="0" w:after="40" w:line="252" w:lineRule="auto"/>
      </w:pPr>
      <w:r>
        <w:rPr>
          <w:rFonts w:ascii="Cambria" w:hAnsi="Cambria" w:eastAsia="Cambria"/>
          <w:b w:val="0"/>
          <w:i w:val="0"/>
          <w:color w:val="000000"/>
          <w:sz w:val="20"/>
        </w:rPr>
        <w:t>Laboratory Quality Management Manual</w:t>
      </w:r>
    </w:p>
    <w:p>
      <w:pPr>
        <w:pStyle w:val="ListBullet"/>
        <w:spacing w:before="0" w:after="40" w:line="252" w:lineRule="auto"/>
      </w:pPr>
      <w:r>
        <w:rPr>
          <w:rFonts w:ascii="Cambria" w:hAnsi="Cambria" w:eastAsia="Cambria"/>
          <w:b w:val="0"/>
          <w:i w:val="0"/>
          <w:color w:val="000000"/>
          <w:sz w:val="20"/>
        </w:rPr>
        <w:t>Records Retention Schedule</w:t>
      </w:r>
    </w:p>
    <w:p>
      <w:pPr>
        <w:pStyle w:val="ListBullet"/>
        <w:spacing w:before="0" w:after="40" w:line="252" w:lineRule="auto"/>
      </w:pPr>
      <w:r>
        <w:rPr>
          <w:rFonts w:ascii="Cambria" w:hAnsi="Cambria" w:eastAsia="Cambria"/>
          <w:b w:val="0"/>
          <w:i w:val="0"/>
          <w:color w:val="000000"/>
          <w:sz w:val="20"/>
        </w:rPr>
        <w:t>Change Control Procedure</w:t>
      </w:r>
    </w:p>
    <w:p>
      <w:pPr>
        <w:pStyle w:val="ListBullet"/>
        <w:spacing w:before="0" w:after="40" w:line="252" w:lineRule="auto"/>
      </w:pPr>
      <w:r>
        <w:rPr>
          <w:rFonts w:ascii="Cambria" w:hAnsi="Cambria" w:eastAsia="Cambria"/>
          <w:b w:val="0"/>
          <w:i w:val="0"/>
          <w:color w:val="000000"/>
          <w:sz w:val="20"/>
        </w:rPr>
        <w:t>LIS / Information System Procedure</w:t>
      </w:r>
    </w:p>
    <w:p>
      <w:pPr>
        <w:pStyle w:val="ListBullet"/>
        <w:spacing w:before="0" w:after="40" w:line="252" w:lineRule="auto"/>
      </w:pPr>
      <w:r>
        <w:rPr>
          <w:rFonts w:ascii="Cambria" w:hAnsi="Cambria" w:eastAsia="Cambria"/>
          <w:b w:val="0"/>
          <w:i w:val="0"/>
          <w:color w:val="000000"/>
          <w:sz w:val="20"/>
        </w:rPr>
        <w:t>Training and Competence Procedure</w:t>
      </w:r>
    </w:p>
    <w:p>
      <w:pPr>
        <w:keepNext/>
        <w:spacing w:before="180" w:after="80"/>
        <w:pBdr>
          <w:bottom w:val="single" w:sz="8" w:space="2" w:color="D9EAF7"/>
        </w:pBdr>
      </w:pPr>
      <w:r>
        <w:rPr>
          <w:rFonts w:ascii="Cambria" w:hAnsi="Cambria" w:eastAsia="Cambria"/>
          <w:b/>
          <w:i w:val="0"/>
          <w:color w:val="000000"/>
          <w:sz w:val="25"/>
        </w:rPr>
        <w:t>References</w:t>
      </w:r>
    </w:p>
    <w:p>
      <w:r>
        <w:rPr>
          <w:rFonts w:ascii="Cambria" w:hAnsi="Cambria" w:eastAsia="Cambria"/>
          <w:b/>
          <w:i w:val="0"/>
          <w:color w:val="000000"/>
          <w:sz w:val="19"/>
        </w:rPr>
        <w:t>ISO 15189:2022 — Medical laboratories — Requirements for quality and competence</w:t>
      </w:r>
    </w:p>
    <w:p>
      <w:pPr>
        <w:spacing w:after="60"/>
      </w:pPr>
      <w:r>
        <w:rPr>
          <w:rFonts w:ascii="Calibri" w:hAnsi="Calibri" w:eastAsia="Calibri"/>
          <w:b w:val="0"/>
          <w:i w:val="0"/>
          <w:color w:val="1F4E79"/>
          <w:sz w:val="18"/>
        </w:rPr>
        <w:t>https://www.iso.org/standard/76677.html</w:t>
      </w:r>
    </w:p>
    <w:p>
      <w:r>
        <w:rPr>
          <w:rFonts w:ascii="Cambria" w:hAnsi="Cambria" w:eastAsia="Cambria"/>
          <w:b w:val="0"/>
          <w:i/>
          <w:color w:val="666666"/>
          <w:sz w:val="19"/>
        </w:rPr>
        <w:t>Applicable national, regional, accreditation-body and regulatory requirements should also be incorporated where relevant to the laboratory.</w:t>
      </w:r>
    </w:p>
    <w:p>
      <w:pPr>
        <w:keepNext/>
        <w:spacing w:before="180" w:after="80"/>
        <w:pBdr>
          <w:bottom w:val="single" w:sz="8" w:space="2" w:color="D9EAF7"/>
        </w:pBdr>
      </w:pPr>
      <w:r>
        <w:rPr>
          <w:rFonts w:ascii="Cambria" w:hAnsi="Cambria" w:eastAsia="Cambria"/>
          <w:b/>
          <w:i w:val="0"/>
          <w:color w:val="000000"/>
          <w:sz w:val="25"/>
        </w:rPr>
        <w:t>Revision and Approval</w:t>
      </w:r>
    </w:p>
    <w:tbl>
      <w:tblPr>
        <w:tblStyle w:val="TableGrid"/>
        <w:tblW w:type="auto" w:w="0"/>
        <w:jc w:val="center"/>
        <w:tblLook w:val="04A0"/>
      </w:tblPr>
      <w:tblGrid>
        <w:gridCol w:w="3118"/>
        <w:gridCol w:w="3118"/>
        <w:gridCol w:w="3118"/>
      </w:tblGrid>
      <w:tr>
        <w:trPr>
          <w:tblHeader w:val="true"/>
        </w:trPr>
        <w:tc>
          <w:tcPr>
            <w:tcW w:type="dxa" w:w="141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Version</w:t>
            </w:r>
          </w:p>
        </w:tc>
        <w:tc>
          <w:tcPr>
            <w:tcW w:type="dxa" w:w="198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Effective Date</w:t>
            </w:r>
          </w:p>
        </w:tc>
        <w:tc>
          <w:tcPr>
            <w:tcW w:type="dxa" w:w="5669"/>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Description</w:t>
            </w:r>
          </w:p>
        </w:tc>
      </w:tr>
      <w:tr>
        <w:trPr>
          <w:cantSplit/>
        </w:trPr>
        <w:tc>
          <w:tcPr>
            <w:tcW w:type="dxa" w:w="14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2026-09-19</w:t>
            </w:r>
          </w:p>
        </w:tc>
        <w:tc>
          <w:tcPr>
            <w:tcW w:type="dxa" w:w="5669"/>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Initial issue</w:t>
            </w:r>
          </w:p>
        </w:tc>
      </w:tr>
    </w:tbl>
    <w:p>
      <w:pPr>
        <w:spacing w:before="0" w:after="0" w:line="252" w:lineRule="auto"/>
      </w:pPr>
    </w:p>
    <w:tbl>
      <w:tblPr>
        <w:tblStyle w:val="TableGrid"/>
        <w:tblW w:type="auto" w:w="0"/>
        <w:jc w:val="center"/>
        <w:tblLook w:val="04A0"/>
      </w:tblPr>
      <w:tblGrid>
        <w:gridCol w:w="2339"/>
        <w:gridCol w:w="2339"/>
        <w:gridCol w:w="2339"/>
        <w:gridCol w:w="2339"/>
      </w:tblGrid>
      <w:tr>
        <w:trPr>
          <w:tblHeader w:val="true"/>
        </w:trPr>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Prepared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Reviewed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Approved by</w:t>
            </w:r>
          </w:p>
        </w:tc>
        <w:tc>
          <w:tcPr>
            <w:tcW w:type="dxa" w:w="170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Date</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170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[DATE]</w:t>
            </w:r>
          </w:p>
        </w:tc>
      </w:tr>
    </w:tbl>
    <w:p>
      <w:pPr>
        <w:spacing w:before="0" w:after="0" w:line="252" w:lineRule="auto"/>
      </w:pPr>
    </w:p>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jc w:val="center"/>
    </w:pPr>
    <w:r>
      <w:rPr>
        <w:rFonts w:ascii="Calibri" w:hAnsi="Calibri" w:eastAsia="Calibri"/>
        <w:b w:val="0"/>
        <w:i w:val="0"/>
        <w:color w:val="666666"/>
        <w:sz w:val="16"/>
      </w:rPr>
      <w:t xml:space="preserve">www.iso-toolkits.org | info@iso-toolkits.org | Page </w:t>
    </w:r>
    <w:r>
      <w:fldChar w:fldCharType="begin"/>
      <w:instrText xml:space="preserve"> PAGE </w:instrText>
      <w:fldChar w:fldCharType="separate"/>
      <w:t>1</w:t>
      <w:fldChar w:fldCharType="end"/>
    </w:r>
    <w:r>
      <w:rPr>
        <w:rFonts w:ascii="Calibri" w:hAnsi="Calibri" w:eastAsia="Calibri"/>
        <w:b w:val="0"/>
        <w:i w:val="0"/>
        <w:color w:val="666666"/>
        <w:sz w:val="16"/>
      </w:rPr>
      <w:t xml:space="preserve"> of </w:t>
    </w:r>
    <w:r>
      <w:fldChar w:fldCharType="begin"/>
      <w:instrText xml:space="preserve"> NUMPAGES </w:instrText>
      <w:fldChar w:fldCharType="separate"/>
      <w:t>1</w:t>
      <w:fldChar w:fldCharType="end"/>
    </w:r>
  </w:p>
</w:ftr>
</file>

<file path=word/header1.xml><?xml version="1.0" encoding="utf-8"?>
<w:hdr xmlns:w="http://schemas.openxmlformats.org/wordprocessingml/2006/main">
  <w:p>
    <w:pPr>
      <w:pStyle w:val="Header"/>
    </w:pPr>
  </w:p>
  <w:tbl>
    <w:tblPr>
      <w:tblW w:type="auto" w:w="0"/>
      <w:jc w:val="center"/>
      <w:tblLook w:val="04A0"/>
    </w:tblPr>
    <w:tblGrid>
      <w:gridCol w:w="3118"/>
      <w:gridCol w:w="3118"/>
      <w:gridCol w:w="3118"/>
    </w:tblGrid>
    <w:tr>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ORGANIZATION LOGO</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i w:val="0"/>
              <w:color w:val="1F4E79"/>
              <w:sz w:val="15"/>
            </w:rPr>
            <w:t>[ORGANIZATION NAME]</w:t>
            <w:br/>
            <w:t>Documented Information Procedure</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LQMS-PRO-001</w:t>
            <w:br/>
            <w:t>Version 1.0</w:t>
            <w:br/>
            <w:t>2026-09-19</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eastAsia="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mbria" w:hAnsi="Cambria" w:eastAsia="Cambria"/>
      <w:sz w:val="20"/>
    </w:rPr>
  </w:style>
  <w:style w:type="paragraph" w:styleId="ListBullet2">
    <w:name w:val="List Bullet 2"/>
    <w:basedOn w:val="Normal"/>
    <w:uiPriority w:val="99"/>
    <w:unhideWhenUsed/>
    <w:rsid w:val="00326F90"/>
    <w:pPr>
      <w:numPr>
        <w:numId w:val="2"/>
      </w:numPr>
      <w:spacing w:after="40"/>
      <w:contextualSpacing/>
    </w:pPr>
    <w:rPr>
      <w:rFonts w:ascii="Cambria" w:hAnsi="Cambria" w:eastAsia="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Cambria" w:hAnsi="Cambria" w:eastAsia="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Documented Information Procedure</dc:title>
  <dc:subject>ISO 15189:2022 laboratory quality management system document</dc:subject>
  <dc:creator>ISO Toolkits</dc:creator>
  <cp:keywords>ISO 15189, laboratory quality, LQMS, Procedure</cp:keywords>
  <dc:description>Practical ISO 15189 toolkit document. www.iso-toolkits.org</dc:description>
  <cp:lastModifiedBy/>
  <cp:revision>1</cp:revision>
  <dcterms:created xsi:type="dcterms:W3CDTF">2013-12-23T23:15:00Z</dcterms:created>
  <dcterms:modified xsi:type="dcterms:W3CDTF">2013-12-23T23:15:00Z</dcterms:modified>
  <cp:category/>
</cp:coreProperties>
</file>