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480" w:after="160"/>
        <w:jc w:val="center"/>
      </w:pPr>
      <w:r>
        <w:rPr>
          <w:rFonts w:ascii="Cambria" w:hAnsi="Cambria" w:eastAsia="Cambria"/>
          <w:b/>
          <w:i w:val="0"/>
          <w:color w:val="1F4E79"/>
          <w:sz w:val="40"/>
        </w:rPr>
        <w:t>Documented Information Guidance</w:t>
      </w:r>
    </w:p>
    <w:p>
      <w:pPr>
        <w:spacing w:after="360"/>
        <w:jc w:val="center"/>
      </w:pPr>
      <w:r>
        <w:rPr>
          <w:rFonts w:ascii="Cambria" w:hAnsi="Cambria" w:eastAsia="Cambria"/>
          <w:b/>
          <w:i w:val="0"/>
          <w:color w:val="000000"/>
          <w:sz w:val="22"/>
        </w:rPr>
        <w:t>ISO 15189:2022 | Guidance</w:t>
      </w:r>
    </w:p>
    <w:tbl>
      <w:tblPr>
        <w:tblStyle w:val="TableGrid"/>
        <w:tblW w:type="auto" w:w="0"/>
        <w:jc w:val="center"/>
        <w:tblLook w:val="04A0"/>
      </w:tblPr>
      <w:tblGrid>
        <w:gridCol w:w="2339"/>
        <w:gridCol w:w="2339"/>
        <w:gridCol w:w="2339"/>
        <w:gridCol w:w="2339"/>
      </w:tblGrid>
      <w:tr>
        <w:trPr>
          <w:tblHeader w:val="true"/>
        </w:trPr>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Code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LQMS-GUI-002</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Version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Effective Date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2026-09-19</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Classification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INTERNAL</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Owner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[QUALITY MANAGER / DOCUMENT CONTROLLER]</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Approver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[LABORATORY DIRECTOR]</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Review Cycle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[ANNUAL / UPON CHANGE]</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 DATE]</w:t>
            </w:r>
          </w:p>
        </w:tc>
      </w:tr>
    </w:tbl>
    <w:p>
      <w:pPr>
        <w:spacing w:before="0" w:after="0" w:line="252" w:lineRule="auto"/>
      </w:pP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Replace organization-specific placeholders before controlled release.</w:t>
            </w:r>
          </w:p>
        </w:tc>
      </w:tr>
    </w:tbl>
    <w:p>
      <w:pPr>
        <w:jc w:val="center"/>
      </w:pPr>
      <w:r>
        <w:rPr>
          <w:rFonts w:ascii="Cambria" w:hAnsi="Cambria" w:eastAsia="Cambria"/>
          <w:b/>
          <w:i w:val="0"/>
          <w:color w:val="666666"/>
          <w:sz w:val="17"/>
        </w:rPr>
        <w:t>ISO TOOLKITS DOCUMENT</w:t>
      </w:r>
    </w:p>
    <w:p>
      <w:pPr>
        <w:jc w:val="center"/>
      </w:pPr>
      <w:r>
        <w:rPr>
          <w:rFonts w:ascii="Calibri" w:hAnsi="Calibri" w:eastAsia="Calibri"/>
          <w:b w:val="0"/>
          <w:i w:val="0"/>
          <w:color w:val="666666"/>
          <w:sz w:val="17"/>
        </w:rPr>
        <w:t>www.iso-toolkits.org | info@iso-toolkits.org</w:t>
      </w:r>
    </w:p>
    <w:p>
      <w:r>
        <w:br w:type="page"/>
      </w:r>
    </w:p>
    <w:p>
      <w:pPr>
        <w:keepNext/>
        <w:spacing w:before="180" w:after="80"/>
        <w:pBdr>
          <w:bottom w:val="single" w:sz="8" w:space="2" w:color="D9EAF7"/>
        </w:pBdr>
      </w:pPr>
      <w:r>
        <w:rPr>
          <w:rFonts w:ascii="Cambria" w:hAnsi="Cambria" w:eastAsia="Cambria"/>
          <w:b/>
          <w:i w:val="0"/>
          <w:color w:val="000000"/>
          <w:sz w:val="25"/>
        </w:rPr>
        <w:t>1. Purpose and Use</w:t>
      </w:r>
    </w:p>
    <w:p>
      <w:pPr>
        <w:spacing w:before="0" w:after="80" w:line="252" w:lineRule="auto"/>
      </w:pPr>
      <w:r>
        <w:rPr>
          <w:rFonts w:ascii="Cambria" w:hAnsi="Cambria" w:eastAsia="Cambria"/>
          <w:b w:val="0"/>
          <w:i w:val="0"/>
          <w:color w:val="000000"/>
          <w:sz w:val="21"/>
        </w:rPr>
        <w:t>This guidance helps laboratories design a documented-information system that is easy to use, maintains technical traceability and provides reliable evidence without creating unnecessary paperwork.</w:t>
      </w:r>
    </w:p>
    <w:p>
      <w:pPr>
        <w:keepNext/>
        <w:spacing w:before="180" w:after="80"/>
        <w:pBdr>
          <w:bottom w:val="single" w:sz="8" w:space="2" w:color="D9EAF7"/>
        </w:pBdr>
      </w:pPr>
      <w:r>
        <w:rPr>
          <w:rFonts w:ascii="Cambria" w:hAnsi="Cambria" w:eastAsia="Cambria"/>
          <w:b/>
          <w:i w:val="0"/>
          <w:color w:val="000000"/>
          <w:sz w:val="25"/>
        </w:rPr>
        <w:t>2. Document Architecture</w:t>
      </w:r>
    </w:p>
    <w:tbl>
      <w:tblPr>
        <w:tblStyle w:val="TableGrid"/>
        <w:tblW w:type="auto" w:w="0"/>
        <w:jc w:val="center"/>
        <w:tblLook w:val="04A0"/>
      </w:tblPr>
      <w:tblGrid>
        <w:gridCol w:w="3118"/>
        <w:gridCol w:w="3118"/>
        <w:gridCol w:w="3118"/>
      </w:tblGrid>
      <w:tr>
        <w:trPr>
          <w:tblHeader w:val="true"/>
        </w:trPr>
        <w:tc>
          <w:tcPr>
            <w:tcW w:type="dxa" w:w="198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Document type</w:t>
            </w:r>
          </w:p>
        </w:tc>
        <w:tc>
          <w:tcPr>
            <w:tcW w:type="dxa" w:w="3402"/>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Typical purpose</w:t>
            </w:r>
          </w:p>
        </w:tc>
        <w:tc>
          <w:tcPr>
            <w:tcW w:type="dxa" w:w="3685"/>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Examples</w:t>
            </w:r>
          </w:p>
        </w:tc>
      </w:tr>
      <w:tr>
        <w:trPr>
          <w:cantSplit/>
        </w:trPr>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Policy / Manual</w:t>
            </w:r>
          </w:p>
        </w:tc>
        <w:tc>
          <w:tcPr>
            <w:tcW w:type="dxa" w:w="340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Set direction and describe the management-system framework.</w:t>
            </w:r>
          </w:p>
        </w:tc>
        <w:tc>
          <w:tcPr>
            <w:tcW w:type="dxa" w:w="368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Quality policy, laboratory quality management manual</w:t>
            </w:r>
          </w:p>
        </w:tc>
      </w:tr>
      <w:tr>
        <w:trPr>
          <w:cantSplit/>
        </w:trPr>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Procedure</w:t>
            </w:r>
          </w:p>
        </w:tc>
        <w:tc>
          <w:tcPr>
            <w:tcW w:type="dxa" w:w="340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Define controlled process steps, responsibilities and outputs.</w:t>
            </w:r>
          </w:p>
        </w:tc>
        <w:tc>
          <w:tcPr>
            <w:tcW w:type="dxa" w:w="368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Internal audit, document control, management review</w:t>
            </w:r>
          </w:p>
        </w:tc>
      </w:tr>
      <w:tr>
        <w:trPr>
          <w:cantSplit/>
        </w:trPr>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Work instruction / SOP</w:t>
            </w:r>
          </w:p>
        </w:tc>
        <w:tc>
          <w:tcPr>
            <w:tcW w:type="dxa" w:w="340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Describe how a task or examination activity is performed.</w:t>
            </w:r>
          </w:p>
        </w:tc>
        <w:tc>
          <w:tcPr>
            <w:tcW w:type="dxa" w:w="368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Specimen processing, analyzer operation, critical-result communication</w:t>
            </w:r>
          </w:p>
        </w:tc>
      </w:tr>
      <w:tr>
        <w:trPr>
          <w:cantSplit/>
        </w:trPr>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Form / template</w:t>
            </w:r>
          </w:p>
        </w:tc>
        <w:tc>
          <w:tcPr>
            <w:tcW w:type="dxa" w:w="340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Structure consistent data capture.</w:t>
            </w:r>
          </w:p>
        </w:tc>
        <w:tc>
          <w:tcPr>
            <w:tcW w:type="dxa" w:w="368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Audit report, management review minutes, maintenance record</w:t>
            </w:r>
          </w:p>
        </w:tc>
      </w:tr>
      <w:tr>
        <w:trPr>
          <w:cantSplit/>
        </w:trPr>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Register / log</w:t>
            </w:r>
          </w:p>
        </w:tc>
        <w:tc>
          <w:tcPr>
            <w:tcW w:type="dxa" w:w="340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Track multiple items over time.</w:t>
            </w:r>
          </w:p>
        </w:tc>
        <w:tc>
          <w:tcPr>
            <w:tcW w:type="dxa" w:w="368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Nonconformity register, equipment register, complaint log</w:t>
            </w:r>
          </w:p>
        </w:tc>
      </w:tr>
      <w:tr>
        <w:trPr>
          <w:cantSplit/>
        </w:trPr>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Record</w:t>
            </w:r>
          </w:p>
        </w:tc>
        <w:tc>
          <w:tcPr>
            <w:tcW w:type="dxa" w:w="340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Provide objective evidence that an activity occurred.</w:t>
            </w:r>
          </w:p>
        </w:tc>
        <w:tc>
          <w:tcPr>
            <w:tcW w:type="dxa" w:w="368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QC record, competence record, result authorization evidence</w:t>
            </w:r>
          </w:p>
        </w:tc>
      </w:tr>
      <w:tr>
        <w:trPr>
          <w:cantSplit/>
        </w:trPr>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External document</w:t>
            </w:r>
          </w:p>
        </w:tc>
        <w:tc>
          <w:tcPr>
            <w:tcW w:type="dxa" w:w="340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Provide controlled external requirements or instructions.</w:t>
            </w:r>
          </w:p>
        </w:tc>
        <w:tc>
          <w:tcPr>
            <w:tcW w:type="dxa" w:w="368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Manufacturer instructions, regulatory guidance, referral-laboratory information</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3. Keep Documents Practical</w:t>
      </w:r>
    </w:p>
    <w:p>
      <w:pPr>
        <w:pStyle w:val="ListBullet"/>
        <w:spacing w:before="0" w:after="40" w:line="252" w:lineRule="auto"/>
      </w:pPr>
      <w:r>
        <w:rPr>
          <w:rFonts w:ascii="Cambria" w:hAnsi="Cambria" w:eastAsia="Cambria"/>
          <w:b w:val="0"/>
          <w:i w:val="0"/>
          <w:color w:val="000000"/>
          <w:sz w:val="20"/>
        </w:rPr>
        <w:t>Write for the person performing or controlling the work, not for an accreditation assessor.</w:t>
      </w:r>
    </w:p>
    <w:p>
      <w:pPr>
        <w:pStyle w:val="ListBullet"/>
        <w:spacing w:before="0" w:after="40" w:line="252" w:lineRule="auto"/>
      </w:pPr>
      <w:r>
        <w:rPr>
          <w:rFonts w:ascii="Cambria" w:hAnsi="Cambria" w:eastAsia="Cambria"/>
          <w:b w:val="0"/>
          <w:i w:val="0"/>
          <w:color w:val="000000"/>
          <w:sz w:val="20"/>
        </w:rPr>
        <w:t>Put critical acceptance criteria, responsibilities and records where users can see them quickly.</w:t>
      </w:r>
    </w:p>
    <w:p>
      <w:pPr>
        <w:pStyle w:val="ListBullet"/>
        <w:spacing w:before="0" w:after="40" w:line="252" w:lineRule="auto"/>
      </w:pPr>
      <w:r>
        <w:rPr>
          <w:rFonts w:ascii="Cambria" w:hAnsi="Cambria" w:eastAsia="Cambria"/>
          <w:b w:val="0"/>
          <w:i w:val="0"/>
          <w:color w:val="000000"/>
          <w:sz w:val="20"/>
        </w:rPr>
        <w:t>Avoid repeating the same requirement across several documents unless the interface genuinely needs it.</w:t>
      </w:r>
    </w:p>
    <w:p>
      <w:pPr>
        <w:pStyle w:val="ListBullet"/>
        <w:spacing w:before="0" w:after="40" w:line="252" w:lineRule="auto"/>
      </w:pPr>
      <w:r>
        <w:rPr>
          <w:rFonts w:ascii="Cambria" w:hAnsi="Cambria" w:eastAsia="Cambria"/>
          <w:b w:val="0"/>
          <w:i w:val="0"/>
          <w:color w:val="000000"/>
          <w:sz w:val="20"/>
        </w:rPr>
        <w:t>Use tables, checklists and short process steps when they are clearer than long narrative.</w:t>
      </w:r>
    </w:p>
    <w:p>
      <w:pPr>
        <w:pStyle w:val="ListBullet"/>
        <w:spacing w:before="0" w:after="40" w:line="252" w:lineRule="auto"/>
      </w:pPr>
      <w:r>
        <w:rPr>
          <w:rFonts w:ascii="Cambria" w:hAnsi="Cambria" w:eastAsia="Cambria"/>
          <w:b w:val="0"/>
          <w:i w:val="0"/>
          <w:color w:val="000000"/>
          <w:sz w:val="20"/>
        </w:rPr>
        <w:t>Separate guidance from mandatory instructions so users can distinguish what must be done from what is explanatory.</w:t>
      </w:r>
    </w:p>
    <w:p>
      <w:pPr>
        <w:keepNext/>
        <w:spacing w:before="180" w:after="80"/>
        <w:pBdr>
          <w:bottom w:val="single" w:sz="8" w:space="2" w:color="D9EAF7"/>
        </w:pBdr>
      </w:pPr>
      <w:r>
        <w:rPr>
          <w:rFonts w:ascii="Cambria" w:hAnsi="Cambria" w:eastAsia="Cambria"/>
          <w:b/>
          <w:i w:val="0"/>
          <w:color w:val="000000"/>
          <w:sz w:val="25"/>
        </w:rPr>
        <w:t>4. Identification and Coding</w:t>
      </w:r>
    </w:p>
    <w:p>
      <w:pPr>
        <w:spacing w:before="0" w:after="80" w:line="252" w:lineRule="auto"/>
      </w:pPr>
      <w:r>
        <w:rPr>
          <w:rFonts w:ascii="Cambria" w:hAnsi="Cambria" w:eastAsia="Cambria"/>
          <w:b w:val="0"/>
          <w:i w:val="0"/>
          <w:color w:val="000000"/>
          <w:sz w:val="21"/>
        </w:rPr>
        <w:t>Use a coding convention that is stable, searchable and meaningful enough for document control. The exact code structure is less important than consistent use and traceability.</w:t>
      </w:r>
    </w:p>
    <w:tbl>
      <w:tblPr>
        <w:tblStyle w:val="TableGrid"/>
        <w:tblW w:type="auto" w:w="0"/>
        <w:jc w:val="center"/>
        <w:tblLook w:val="04A0"/>
      </w:tblPr>
      <w:tblGrid>
        <w:gridCol w:w="4677"/>
        <w:gridCol w:w="4677"/>
      </w:tblGrid>
      <w:tr>
        <w:trPr>
          <w:tblHeader w:val="true"/>
        </w:trPr>
        <w:tc>
          <w:tcPr>
            <w:tcW w:type="dxa" w:w="255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Element</w:t>
            </w:r>
          </w:p>
        </w:tc>
        <w:tc>
          <w:tcPr>
            <w:tcW w:type="dxa" w:w="652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Example</w:t>
            </w:r>
          </w:p>
        </w:tc>
      </w:tr>
      <w:tr>
        <w:trPr>
          <w:cantSplit/>
        </w:trPr>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System / function</w:t>
            </w:r>
          </w:p>
        </w:tc>
        <w:tc>
          <w:tcPr>
            <w:tcW w:type="dxa" w:w="65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LQMS</w:t>
            </w:r>
          </w:p>
        </w:tc>
      </w:tr>
      <w:tr>
        <w:trPr>
          <w:cantSplit/>
        </w:trPr>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Document type</w:t>
            </w:r>
          </w:p>
        </w:tc>
        <w:tc>
          <w:tcPr>
            <w:tcW w:type="dxa" w:w="65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PRO = Procedure; FRM = Form; RPT = Report; GUI = Guidance</w:t>
            </w:r>
          </w:p>
        </w:tc>
      </w:tr>
      <w:tr>
        <w:trPr>
          <w:cantSplit/>
        </w:trPr>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Unique sequence</w:t>
            </w:r>
          </w:p>
        </w:tc>
        <w:tc>
          <w:tcPr>
            <w:tcW w:type="dxa" w:w="65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001, 002, 003</w:t>
            </w:r>
          </w:p>
        </w:tc>
      </w:tr>
      <w:tr>
        <w:trPr>
          <w:cantSplit/>
        </w:trPr>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Example</w:t>
            </w:r>
          </w:p>
        </w:tc>
        <w:tc>
          <w:tcPr>
            <w:tcW w:type="dxa" w:w="65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LQMS-PRO-001</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5. Review and Approval Workflow</w:t>
      </w:r>
    </w:p>
    <w:p>
      <w:pPr>
        <w:pStyle w:val="ListNumber"/>
        <w:spacing w:before="0" w:after="40" w:line="252" w:lineRule="auto"/>
      </w:pPr>
      <w:r>
        <w:rPr>
          <w:rFonts w:ascii="Cambria" w:hAnsi="Cambria" w:eastAsia="Cambria"/>
          <w:b w:val="0"/>
          <w:i w:val="0"/>
          <w:color w:val="000000"/>
          <w:sz w:val="20"/>
        </w:rPr>
        <w:t>Draft or revise the document using the approved template.</w:t>
      </w:r>
    </w:p>
    <w:p>
      <w:pPr>
        <w:pStyle w:val="ListNumber"/>
        <w:spacing w:before="0" w:after="40" w:line="252" w:lineRule="auto"/>
      </w:pPr>
      <w:r>
        <w:rPr>
          <w:rFonts w:ascii="Cambria" w:hAnsi="Cambria" w:eastAsia="Cambria"/>
          <w:b w:val="0"/>
          <w:i w:val="0"/>
          <w:color w:val="000000"/>
          <w:sz w:val="20"/>
        </w:rPr>
        <w:t>Verify technical accuracy with the relevant process or discipline owner.</w:t>
      </w:r>
    </w:p>
    <w:p>
      <w:pPr>
        <w:pStyle w:val="ListNumber"/>
        <w:spacing w:before="0" w:after="40" w:line="252" w:lineRule="auto"/>
      </w:pPr>
      <w:r>
        <w:rPr>
          <w:rFonts w:ascii="Cambria" w:hAnsi="Cambria" w:eastAsia="Cambria"/>
          <w:b w:val="0"/>
          <w:i w:val="0"/>
          <w:color w:val="000000"/>
          <w:sz w:val="20"/>
        </w:rPr>
        <w:t>Review interfaces, patient-safety implications, records and required training.</w:t>
      </w:r>
    </w:p>
    <w:p>
      <w:pPr>
        <w:pStyle w:val="ListNumber"/>
        <w:spacing w:before="0" w:after="40" w:line="252" w:lineRule="auto"/>
      </w:pPr>
      <w:r>
        <w:rPr>
          <w:rFonts w:ascii="Cambria" w:hAnsi="Cambria" w:eastAsia="Cambria"/>
          <w:b w:val="0"/>
          <w:i w:val="0"/>
          <w:color w:val="000000"/>
          <w:sz w:val="20"/>
        </w:rPr>
        <w:t>Approve through the authorized route before publication.</w:t>
      </w:r>
    </w:p>
    <w:p>
      <w:pPr>
        <w:pStyle w:val="ListNumber"/>
        <w:spacing w:before="0" w:after="40" w:line="252" w:lineRule="auto"/>
      </w:pPr>
      <w:r>
        <w:rPr>
          <w:rFonts w:ascii="Cambria" w:hAnsi="Cambria" w:eastAsia="Cambria"/>
          <w:b w:val="0"/>
          <w:i w:val="0"/>
          <w:color w:val="000000"/>
          <w:sz w:val="20"/>
        </w:rPr>
        <w:t>Update the document register and release the approved version.</w:t>
      </w:r>
    </w:p>
    <w:p>
      <w:pPr>
        <w:pStyle w:val="ListNumber"/>
        <w:spacing w:before="0" w:after="40" w:line="252" w:lineRule="auto"/>
      </w:pPr>
      <w:r>
        <w:rPr>
          <w:rFonts w:ascii="Cambria" w:hAnsi="Cambria" w:eastAsia="Cambria"/>
          <w:b w:val="0"/>
          <w:i w:val="0"/>
          <w:color w:val="000000"/>
          <w:sz w:val="20"/>
        </w:rPr>
        <w:t>Communicate or train affected personnel and retain evidence when needed.</w:t>
      </w:r>
    </w:p>
    <w:p>
      <w:pPr>
        <w:pStyle w:val="ListNumber"/>
        <w:spacing w:before="0" w:after="40" w:line="252" w:lineRule="auto"/>
      </w:pPr>
      <w:r>
        <w:rPr>
          <w:rFonts w:ascii="Cambria" w:hAnsi="Cambria" w:eastAsia="Cambria"/>
          <w:b w:val="0"/>
          <w:i w:val="0"/>
          <w:color w:val="000000"/>
          <w:sz w:val="20"/>
        </w:rPr>
        <w:t>Withdraw obsolete versions and preserve history where required.</w:t>
      </w:r>
    </w:p>
    <w:p>
      <w:pPr>
        <w:keepNext/>
        <w:spacing w:before="180" w:after="80"/>
        <w:pBdr>
          <w:bottom w:val="single" w:sz="8" w:space="2" w:color="D9EAF7"/>
        </w:pBdr>
      </w:pPr>
      <w:r>
        <w:rPr>
          <w:rFonts w:ascii="Cambria" w:hAnsi="Cambria" w:eastAsia="Cambria"/>
          <w:b/>
          <w:i w:val="0"/>
          <w:color w:val="000000"/>
          <w:sz w:val="25"/>
        </w:rPr>
        <w:t>6. Technical and Examination Documents</w:t>
      </w:r>
    </w:p>
    <w:p>
      <w:pPr>
        <w:spacing w:before="0" w:after="80" w:line="252" w:lineRule="auto"/>
      </w:pPr>
      <w:r>
        <w:rPr>
          <w:rFonts w:ascii="Cambria" w:hAnsi="Cambria" w:eastAsia="Cambria"/>
          <w:b w:val="0"/>
          <w:i w:val="0"/>
          <w:color w:val="000000"/>
          <w:sz w:val="21"/>
        </w:rPr>
        <w:t>Examination and technical instructions should be controlled with particular care because errors can directly affect specimen handling, examination validity and result interpretation. Control method versions, manufacturer instructions, reagent information, reference information, calculations and decision rules where relevant to the procedure.</w:t>
      </w: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A technically correct procedure can still be unsafe if the version at the bench, middleware, LIS or local quick-reference guide is not synchronized.</w:t>
            </w:r>
          </w:p>
        </w:tc>
      </w:tr>
    </w:tbl>
    <w:p>
      <w:pPr>
        <w:keepNext/>
        <w:spacing w:before="180" w:after="80"/>
        <w:pBdr>
          <w:bottom w:val="single" w:sz="8" w:space="2" w:color="D9EAF7"/>
        </w:pBdr>
      </w:pPr>
      <w:r>
        <w:rPr>
          <w:rFonts w:ascii="Cambria" w:hAnsi="Cambria" w:eastAsia="Cambria"/>
          <w:b/>
          <w:i w:val="0"/>
          <w:color w:val="000000"/>
          <w:sz w:val="25"/>
        </w:rPr>
        <w:t>7. Electronic Information and LIS</w:t>
      </w:r>
    </w:p>
    <w:tbl>
      <w:tblPr>
        <w:tblStyle w:val="TableGrid"/>
        <w:tblW w:type="auto" w:w="0"/>
        <w:jc w:val="center"/>
        <w:tblLook w:val="04A0"/>
      </w:tblPr>
      <w:tblGrid>
        <w:gridCol w:w="4677"/>
        <w:gridCol w:w="4677"/>
      </w:tblGrid>
      <w:tr>
        <w:trPr>
          <w:tblHeader w:val="true"/>
        </w:trPr>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Control area</w:t>
            </w:r>
          </w:p>
        </w:tc>
        <w:tc>
          <w:tcPr>
            <w:tcW w:type="dxa" w:w="669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Guidance</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Access</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Provide role-based access appropriate to responsibilities and confidentiality.</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Audit trail</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Maintain traceability of relevant record creation, change and authorization.</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Backup and recovery</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Define backup frequency, restoration responsibilities and periodic recovery testing.</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Interfaces</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Control changes to analyzer, middleware, EHR/EMR or other interfaces that can affect information integrity.</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Downtime</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Maintain approved contingency instructions and reconcile records after system restoration.</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Cyber / information risk</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Coordinate with organizational information-security controls for confidentiality, integrity and availability.</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8. Record Quality</w:t>
      </w:r>
    </w:p>
    <w:tbl>
      <w:tblPr>
        <w:tblStyle w:val="TableGrid"/>
        <w:tblW w:type="auto" w:w="0"/>
        <w:jc w:val="center"/>
        <w:tblLook w:val="04A0"/>
      </w:tblPr>
      <w:tblGrid>
        <w:gridCol w:w="4677"/>
        <w:gridCol w:w="4677"/>
      </w:tblGrid>
      <w:tr>
        <w:trPr>
          <w:tblHeader w:val="true"/>
        </w:trPr>
        <w:tc>
          <w:tcPr>
            <w:tcW w:type="dxa" w:w="272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Good record characteristic</w:t>
            </w:r>
          </w:p>
        </w:tc>
        <w:tc>
          <w:tcPr>
            <w:tcW w:type="dxa" w:w="635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What it means in practice</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Attributable</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The person or system responsible can be identified.</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Legible / readable</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Information remains understandable throughout retention.</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Contemporaneous</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Recorded at or near the time the activity occurs.</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Traceable</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Linked to specimen, patient, equipment, reagent, operator, date/time or event as appropriate.</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Protected</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Confidentiality and integrity are maintained.</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Retrievable</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Records can be located within the time needed for patient care, investigation, audit or legal need.</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9. Retention and Disposal</w:t>
      </w:r>
    </w:p>
    <w:p>
      <w:pPr>
        <w:spacing w:before="0" w:after="80" w:line="252" w:lineRule="auto"/>
      </w:pPr>
      <w:r>
        <w:rPr>
          <w:rFonts w:ascii="Cambria" w:hAnsi="Cambria" w:eastAsia="Cambria"/>
          <w:b w:val="0"/>
          <w:i w:val="0"/>
          <w:color w:val="000000"/>
          <w:sz w:val="21"/>
        </w:rPr>
        <w:t>Create a retention schedule by record category. Consider legal and regulatory requirements, accreditation rules, clinical significance, contractual needs, traceability needs, storage format and the ability to read retained electronic records over time.</w:t>
      </w:r>
    </w:p>
    <w:p>
      <w:pPr>
        <w:spacing w:before="0" w:after="80" w:line="252" w:lineRule="auto"/>
      </w:pPr>
      <w:r>
        <w:rPr>
          <w:rFonts w:ascii="Cambria" w:hAnsi="Cambria" w:eastAsia="Cambria"/>
          <w:b w:val="0"/>
          <w:i w:val="0"/>
          <w:color w:val="000000"/>
          <w:sz w:val="21"/>
        </w:rPr>
        <w:t>Dispose of records in a controlled way that protects confidentiality and provides evidence of authorized destruction where required.</w:t>
      </w:r>
    </w:p>
    <w:p>
      <w:pPr>
        <w:keepNext/>
        <w:spacing w:before="180" w:after="80"/>
        <w:pBdr>
          <w:bottom w:val="single" w:sz="8" w:space="2" w:color="D9EAF7"/>
        </w:pBdr>
      </w:pPr>
      <w:r>
        <w:rPr>
          <w:rFonts w:ascii="Cambria" w:hAnsi="Cambria" w:eastAsia="Cambria"/>
          <w:b/>
          <w:i w:val="0"/>
          <w:color w:val="000000"/>
          <w:sz w:val="25"/>
        </w:rPr>
        <w:t>10. Audit-Ready Evidence</w:t>
      </w:r>
    </w:p>
    <w:p>
      <w:pPr>
        <w:pStyle w:val="ListBullet"/>
        <w:spacing w:before="0" w:after="40" w:line="252" w:lineRule="auto"/>
      </w:pPr>
      <w:r>
        <w:rPr>
          <w:rFonts w:ascii="Cambria" w:hAnsi="Cambria" w:eastAsia="Cambria"/>
          <w:b w:val="0"/>
          <w:i w:val="0"/>
          <w:color w:val="000000"/>
          <w:sz w:val="20"/>
        </w:rPr>
        <w:t>Master register identifies the current approved version and owner.</w:t>
      </w:r>
    </w:p>
    <w:p>
      <w:pPr>
        <w:pStyle w:val="ListBullet"/>
        <w:spacing w:before="0" w:after="40" w:line="252" w:lineRule="auto"/>
      </w:pPr>
      <w:r>
        <w:rPr>
          <w:rFonts w:ascii="Cambria" w:hAnsi="Cambria" w:eastAsia="Cambria"/>
          <w:b w:val="0"/>
          <w:i w:val="0"/>
          <w:color w:val="000000"/>
          <w:sz w:val="20"/>
        </w:rPr>
        <w:t>Document changes are linked to review and approval.</w:t>
      </w:r>
    </w:p>
    <w:p>
      <w:pPr>
        <w:pStyle w:val="ListBullet"/>
        <w:spacing w:before="0" w:after="40" w:line="252" w:lineRule="auto"/>
      </w:pPr>
      <w:r>
        <w:rPr>
          <w:rFonts w:ascii="Cambria" w:hAnsi="Cambria" w:eastAsia="Cambria"/>
          <w:b w:val="0"/>
          <w:i w:val="0"/>
          <w:color w:val="000000"/>
          <w:sz w:val="20"/>
        </w:rPr>
        <w:t>Personnel can access current instructions at the point of use.</w:t>
      </w:r>
    </w:p>
    <w:p>
      <w:pPr>
        <w:pStyle w:val="ListBullet"/>
        <w:spacing w:before="0" w:after="40" w:line="252" w:lineRule="auto"/>
      </w:pPr>
      <w:r>
        <w:rPr>
          <w:rFonts w:ascii="Cambria" w:hAnsi="Cambria" w:eastAsia="Cambria"/>
          <w:b w:val="0"/>
          <w:i w:val="0"/>
          <w:color w:val="000000"/>
          <w:sz w:val="20"/>
        </w:rPr>
        <w:t>Training or communication is available for changes that affect work practice.</w:t>
      </w:r>
    </w:p>
    <w:p>
      <w:pPr>
        <w:pStyle w:val="ListBullet"/>
        <w:spacing w:before="0" w:after="40" w:line="252" w:lineRule="auto"/>
      </w:pPr>
      <w:r>
        <w:rPr>
          <w:rFonts w:ascii="Cambria" w:hAnsi="Cambria" w:eastAsia="Cambria"/>
          <w:b w:val="0"/>
          <w:i w:val="0"/>
          <w:color w:val="000000"/>
          <w:sz w:val="20"/>
        </w:rPr>
        <w:t>Obsolete versions cannot be used unintentionally.</w:t>
      </w:r>
    </w:p>
    <w:p>
      <w:pPr>
        <w:pStyle w:val="ListBullet"/>
        <w:spacing w:before="0" w:after="40" w:line="252" w:lineRule="auto"/>
      </w:pPr>
      <w:r>
        <w:rPr>
          <w:rFonts w:ascii="Cambria" w:hAnsi="Cambria" w:eastAsia="Cambria"/>
          <w:b w:val="0"/>
          <w:i w:val="0"/>
          <w:color w:val="000000"/>
          <w:sz w:val="20"/>
        </w:rPr>
        <w:t>Records are complete, traceable, retrievable and protected.</w:t>
      </w:r>
    </w:p>
    <w:p>
      <w:pPr>
        <w:keepNext/>
        <w:spacing w:before="180" w:after="80"/>
        <w:pBdr>
          <w:bottom w:val="single" w:sz="8" w:space="2" w:color="D9EAF7"/>
        </w:pBdr>
      </w:pPr>
      <w:r>
        <w:rPr>
          <w:rFonts w:ascii="Cambria" w:hAnsi="Cambria" w:eastAsia="Cambria"/>
          <w:b/>
          <w:i w:val="0"/>
          <w:color w:val="000000"/>
          <w:sz w:val="25"/>
        </w:rPr>
        <w:t>11. Common Failure Modes</w:t>
      </w:r>
    </w:p>
    <w:tbl>
      <w:tblPr>
        <w:tblStyle w:val="TableGrid"/>
        <w:tblW w:type="auto" w:w="0"/>
        <w:jc w:val="center"/>
        <w:tblLook w:val="04A0"/>
      </w:tblPr>
      <w:tblGrid>
        <w:gridCol w:w="4677"/>
        <w:gridCol w:w="4677"/>
      </w:tblGrid>
      <w:tr>
        <w:trPr>
          <w:tblHeader w:val="true"/>
        </w:trPr>
        <w:tc>
          <w:tcPr>
            <w:tcW w:type="dxa" w:w="3515"/>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Failure mode</w:t>
            </w:r>
          </w:p>
        </w:tc>
        <w:tc>
          <w:tcPr>
            <w:tcW w:type="dxa" w:w="5556"/>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Recommended control</w:t>
            </w:r>
          </w:p>
        </w:tc>
      </w:tr>
      <w:tr>
        <w:trPr>
          <w:cantSplit/>
        </w:trPr>
        <w:tc>
          <w:tcPr>
            <w:tcW w:type="dxa" w:w="351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Uncontrolled local copies</w:t>
            </w:r>
          </w:p>
        </w:tc>
        <w:tc>
          <w:tcPr>
            <w:tcW w:type="dxa" w:w="555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Provide controlled access and discourage printing unless needed.</w:t>
            </w:r>
          </w:p>
        </w:tc>
      </w:tr>
      <w:tr>
        <w:trPr>
          <w:cantSplit/>
        </w:trPr>
        <w:tc>
          <w:tcPr>
            <w:tcW w:type="dxa" w:w="351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SOP and bench guide disagree</w:t>
            </w:r>
          </w:p>
        </w:tc>
        <w:tc>
          <w:tcPr>
            <w:tcW w:type="dxa" w:w="555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Use one controlled source or synchronize them through change control.</w:t>
            </w:r>
          </w:p>
        </w:tc>
      </w:tr>
      <w:tr>
        <w:trPr>
          <w:cantSplit/>
        </w:trPr>
        <w:tc>
          <w:tcPr>
            <w:tcW w:type="dxa" w:w="351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Review dates drive superficial updates</w:t>
            </w:r>
          </w:p>
        </w:tc>
        <w:tc>
          <w:tcPr>
            <w:tcW w:type="dxa" w:w="555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Use event-based review after significant technical or process change.</w:t>
            </w:r>
          </w:p>
        </w:tc>
      </w:tr>
      <w:tr>
        <w:trPr>
          <w:cantSplit/>
        </w:trPr>
        <w:tc>
          <w:tcPr>
            <w:tcW w:type="dxa" w:w="351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Retention periods copied from another organization</w:t>
            </w:r>
          </w:p>
        </w:tc>
        <w:tc>
          <w:tcPr>
            <w:tcW w:type="dxa" w:w="555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Set retention using local requirements and clinical/business need.</w:t>
            </w:r>
          </w:p>
        </w:tc>
      </w:tr>
      <w:tr>
        <w:trPr>
          <w:cantSplit/>
        </w:trPr>
        <w:tc>
          <w:tcPr>
            <w:tcW w:type="dxa" w:w="351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Electronic corrections overwrite history</w:t>
            </w:r>
          </w:p>
        </w:tc>
        <w:tc>
          <w:tcPr>
            <w:tcW w:type="dxa" w:w="555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Use systems or processes that preserve traceability of change.</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References</w:t>
      </w:r>
    </w:p>
    <w:p>
      <w:r>
        <w:rPr>
          <w:rFonts w:ascii="Cambria" w:hAnsi="Cambria" w:eastAsia="Cambria"/>
          <w:b/>
          <w:i w:val="0"/>
          <w:color w:val="000000"/>
          <w:sz w:val="19"/>
        </w:rPr>
        <w:t>ISO 15189:2022 — Medical laboratories — Requirements for quality and competence</w:t>
      </w:r>
    </w:p>
    <w:p>
      <w:pPr>
        <w:spacing w:after="60"/>
      </w:pPr>
      <w:r>
        <w:rPr>
          <w:rFonts w:ascii="Calibri" w:hAnsi="Calibri" w:eastAsia="Calibri"/>
          <w:b w:val="0"/>
          <w:i w:val="0"/>
          <w:color w:val="1F4E79"/>
          <w:sz w:val="18"/>
        </w:rPr>
        <w:t>https://www.iso.org/standard/76677.html</w:t>
      </w:r>
    </w:p>
    <w:p>
      <w:r>
        <w:rPr>
          <w:rFonts w:ascii="Cambria" w:hAnsi="Cambria" w:eastAsia="Cambria"/>
          <w:b/>
          <w:i w:val="0"/>
          <w:color w:val="000000"/>
          <w:sz w:val="19"/>
        </w:rPr>
        <w:t>ISO 22367:2026 — Medical laboratories — Application of risk management to medical laboratories</w:t>
      </w:r>
    </w:p>
    <w:p>
      <w:pPr>
        <w:spacing w:after="60"/>
      </w:pPr>
      <w:r>
        <w:rPr>
          <w:rFonts w:ascii="Calibri" w:hAnsi="Calibri" w:eastAsia="Calibri"/>
          <w:b w:val="0"/>
          <w:i w:val="0"/>
          <w:color w:val="1F4E79"/>
          <w:sz w:val="18"/>
        </w:rPr>
        <w:t>https://committee.iso.org/standard/87738.html</w:t>
      </w:r>
    </w:p>
    <w:p>
      <w:r>
        <w:rPr>
          <w:rFonts w:ascii="Cambria" w:hAnsi="Cambria" w:eastAsia="Cambria"/>
          <w:b w:val="0"/>
          <w:i/>
          <w:color w:val="666666"/>
          <w:sz w:val="19"/>
        </w:rPr>
        <w:t>Applicable national, regional, accreditation-body and regulatory requirements should also be incorporated where relevant to the laboratory.</w:t>
      </w:r>
    </w:p>
    <w:p>
      <w:pPr>
        <w:keepNext/>
        <w:spacing w:before="180" w:after="80"/>
        <w:pBdr>
          <w:bottom w:val="single" w:sz="8" w:space="2" w:color="D9EAF7"/>
        </w:pBdr>
      </w:pPr>
      <w:r>
        <w:rPr>
          <w:rFonts w:ascii="Cambria" w:hAnsi="Cambria" w:eastAsia="Cambria"/>
          <w:b/>
          <w:i w:val="0"/>
          <w:color w:val="000000"/>
          <w:sz w:val="25"/>
        </w:rPr>
        <w:t>Revision and Approval</w:t>
      </w:r>
    </w:p>
    <w:tbl>
      <w:tblPr>
        <w:tblStyle w:val="TableGrid"/>
        <w:tblW w:type="auto" w:w="0"/>
        <w:jc w:val="center"/>
        <w:tblLook w:val="04A0"/>
      </w:tblPr>
      <w:tblGrid>
        <w:gridCol w:w="3118"/>
        <w:gridCol w:w="3118"/>
        <w:gridCol w:w="3118"/>
      </w:tblGrid>
      <w:tr>
        <w:trPr>
          <w:tblHeader w:val="true"/>
        </w:trPr>
        <w:tc>
          <w:tcPr>
            <w:tcW w:type="dxa" w:w="141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Version</w:t>
            </w:r>
          </w:p>
        </w:tc>
        <w:tc>
          <w:tcPr>
            <w:tcW w:type="dxa" w:w="198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Effective Date</w:t>
            </w:r>
          </w:p>
        </w:tc>
        <w:tc>
          <w:tcPr>
            <w:tcW w:type="dxa" w:w="5669"/>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2026-09-19</w:t>
            </w:r>
          </w:p>
        </w:tc>
        <w:tc>
          <w:tcPr>
            <w:tcW w:type="dxa" w:w="5669"/>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Initial issue</w:t>
            </w:r>
          </w:p>
        </w:tc>
      </w:tr>
    </w:tbl>
    <w:p>
      <w:pPr>
        <w:spacing w:before="0" w:after="0" w:line="252" w:lineRule="auto"/>
      </w:pPr>
    </w:p>
    <w:tbl>
      <w:tblPr>
        <w:tblStyle w:val="TableGrid"/>
        <w:tblW w:type="auto" w:w="0"/>
        <w:jc w:val="center"/>
        <w:tblLook w:val="04A0"/>
      </w:tblPr>
      <w:tblGrid>
        <w:gridCol w:w="2339"/>
        <w:gridCol w:w="2339"/>
        <w:gridCol w:w="2339"/>
        <w:gridCol w:w="2339"/>
      </w:tblGrid>
      <w:tr>
        <w:trPr>
          <w:tblHeader w:val="true"/>
        </w:trPr>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Prepared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Reviewed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Approved by</w:t>
            </w:r>
          </w:p>
        </w:tc>
        <w:tc>
          <w:tcPr>
            <w:tcW w:type="dxa" w:w="170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Date</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170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[DATE]</w:t>
            </w:r>
          </w:p>
        </w:tc>
      </w:tr>
    </w:tbl>
    <w:p>
      <w:pPr>
        <w:spacing w:before="0" w:after="0" w:line="252" w:lineRule="auto"/>
      </w:pPr>
    </w:p>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jc w:val="center"/>
    </w:pPr>
    <w:r>
      <w:rPr>
        <w:rFonts w:ascii="Calibri" w:hAnsi="Calibri" w:eastAsia="Calibri"/>
        <w:b w:val="0"/>
        <w:i w:val="0"/>
        <w:color w:val="666666"/>
        <w:sz w:val="16"/>
      </w:rPr>
      <w:t xml:space="preserve">www.iso-toolkits.org | info@iso-toolkits.org | Page </w:t>
    </w:r>
    <w:r>
      <w:fldChar w:fldCharType="begin"/>
      <w:instrText xml:space="preserve"> PAGE </w:instrText>
      <w:fldChar w:fldCharType="separate"/>
      <w:t>1</w:t>
      <w:fldChar w:fldCharType="end"/>
    </w:r>
    <w:r>
      <w:rPr>
        <w:rFonts w:ascii="Calibri" w:hAnsi="Calibri" w:eastAsia="Calibri"/>
        <w:b w:val="0"/>
        <w:i w:val="0"/>
        <w:color w:val="666666"/>
        <w:sz w:val="16"/>
      </w:rPr>
      <w:t xml:space="preserve"> of </w:t>
    </w:r>
    <w: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pPr>
  </w:p>
  <w:tbl>
    <w:tblPr>
      <w:tblW w:type="auto" w:w="0"/>
      <w:jc w:val="center"/>
      <w:tblLook w:val="04A0"/>
    </w:tblPr>
    <w:tblGrid>
      <w:gridCol w:w="3118"/>
      <w:gridCol w:w="3118"/>
      <w:gridCol w:w="3118"/>
    </w:tblGrid>
    <w:tr>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ORGANIZATION LOGO</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i w:val="0"/>
              <w:color w:val="1F4E79"/>
              <w:sz w:val="15"/>
            </w:rPr>
            <w:t>[ORGANIZATION NAME]</w:t>
            <w:br/>
            <w:t>Documented Information Guidance</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LQMS-GUI-002</w:t>
            <w:br/>
            <w:t>Version 1.0</w:t>
            <w:br/>
            <w:t>2026-09-19</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mbria" w:hAnsi="Cambria" w:eastAsia="Cambria"/>
      <w:sz w:val="20"/>
    </w:rPr>
  </w:style>
  <w:style w:type="paragraph" w:styleId="ListBullet2">
    <w:name w:val="List Bullet 2"/>
    <w:basedOn w:val="Normal"/>
    <w:uiPriority w:val="99"/>
    <w:unhideWhenUsed/>
    <w:rsid w:val="00326F90"/>
    <w:pPr>
      <w:numPr>
        <w:numId w:val="2"/>
      </w:numPr>
      <w:spacing w:after="40"/>
      <w:contextualSpacing/>
    </w:pPr>
    <w:rPr>
      <w:rFonts w:ascii="Cambria" w:hAnsi="Cambria" w:eastAsia="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mbria" w:hAnsi="Cambria" w:eastAsia="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Documented Information Guidance</dc:title>
  <dc:subject>ISO 15189:2022 laboratory quality management system document</dc:subject>
  <dc:creator>ISO Toolkits</dc:creator>
  <cp:keywords>ISO 15189, laboratory quality, LQMS, Guidance</cp:keywords>
  <dc:description>Practical ISO 15189 toolkit document. www.iso-toolkits.org</dc:description>
  <cp:lastModifiedBy/>
  <cp:revision>1</cp:revision>
  <dcterms:created xsi:type="dcterms:W3CDTF">2013-12-23T23:15:00Z</dcterms:created>
  <dcterms:modified xsi:type="dcterms:W3CDTF">2013-12-23T23:15:00Z</dcterms:modified>
  <cp:category/>
</cp:coreProperties>
</file>