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spacing w:before="1100" w:after="240"/>
        <w:jc w:val="center"/>
      </w:pPr>
      <w:r>
        <w:rPr>
          <w:rFonts w:ascii="Cambria" w:hAnsi="Cambria" w:eastAsia="Cambria" w:cs="Cambria"/>
          <w:b/>
          <w:i w:val="0"/>
          <w:color w:val="1F4E79"/>
          <w:sz w:val="42"/>
        </w:rPr>
        <w:t>Internal Energy Audit Procedure</w:t>
      </w:r>
    </w:p>
    <w:p>
      <w:pPr>
        <w:spacing w:after="560"/>
        <w:jc w:val="center"/>
      </w:pPr>
      <w:r>
        <w:rPr>
          <w:rFonts w:ascii="Cambria" w:hAnsi="Cambria" w:eastAsia="Cambria" w:cs="Cambria"/>
          <w:b w:val="0"/>
          <w:i w:val="0"/>
          <w:color w:val="555555"/>
          <w:sz w:val="22"/>
        </w:rPr>
        <w:t>ISO 50001 Energy Management System</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118"/>
        <w:gridCol w:w="5386"/>
      </w:tblGrid>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Code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EnMS-PRO-001</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Version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1.0</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Effective Date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2026-09-19</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Classification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INTERNAL</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Owner</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Lead Internal Auditor / EnMS Coordinator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Approved By</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[APPROVER]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Applicable Standard</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ISO 50001:2018 + Amendment 1:2024</w:t>
            </w:r>
          </w:p>
        </w:tc>
      </w:tr>
    </w:tbl>
    <w:p>
      <w:pPr>
        <w:spacing w:before="480"/>
        <w:jc w:val="center"/>
      </w:pPr>
      <w:r>
        <w:rPr>
          <w:rFonts w:ascii="Cambria" w:hAnsi="Cambria" w:eastAsia="Cambria" w:cs="Cambria"/>
          <w:b/>
          <w:i w:val="0"/>
          <w:color w:val="1F4E79"/>
          <w:sz w:val="19"/>
        </w:rPr>
        <w:t>ISO TOOLKITS DOCUMENT</w:t>
      </w:r>
    </w:p>
    <w:p>
      <w:pPr>
        <w:jc w:val="center"/>
      </w:pPr>
      <w:r>
        <w:rPr>
          <w:rFonts w:ascii="Cambria" w:hAnsi="Cambria" w:eastAsia="Cambria" w:cs="Cambria"/>
          <w:b w:val="0"/>
          <w:i w:val="0"/>
          <w:color w:val="666666"/>
          <w:sz w:val="17"/>
        </w:rPr>
        <w:t>Website: www.iso-toolkits.org | Email: info@iso-toolkits.org</w:t>
      </w:r>
    </w:p>
    <w:p>
      <w:r>
        <w:br w:type="page"/>
      </w:r>
    </w:p>
    <w:p>
      <w:pPr>
        <w:pStyle w:val="Heading1"/>
        <w:keepNext w:val="1"/>
      </w:pPr>
      <w:r>
        <w:rPr>
          <w:rFonts w:ascii="Cambria" w:hAnsi="Cambria" w:eastAsia="Cambria" w:cs="Cambria"/>
          <w:b/>
          <w:i w:val="0"/>
          <w:color w:val="1F4E79"/>
          <w:sz w:val="26"/>
        </w:rPr>
        <w:t>1. Purpose</w:t>
      </w:r>
    </w:p>
    <w:p>
      <w:pPr>
        <w:spacing w:before="0" w:after="80" w:line="252" w:lineRule="auto"/>
      </w:pPr>
      <w:r>
        <w:rPr>
          <w:rFonts w:ascii="Cambria" w:hAnsi="Cambria" w:eastAsia="Cambria" w:cs="Cambria"/>
          <w:b w:val="0"/>
          <w:i w:val="0"/>
          <w:color w:val="000000"/>
          <w:sz w:val="21"/>
        </w:rPr>
        <w:t>This procedure defines how [ORGANIZATION NAME] plans, conducts, reports and follows up internal Energy Management System (EnMS) audits to provide objective evidence of conformity, implementation and effectiveness.</w:t>
      </w:r>
    </w:p>
    <w:p>
      <w:pPr>
        <w:pStyle w:val="Heading1"/>
        <w:keepNext w:val="1"/>
      </w:pPr>
      <w:r>
        <w:rPr>
          <w:rFonts w:ascii="Cambria" w:hAnsi="Cambria" w:eastAsia="Cambria" w:cs="Cambria"/>
          <w:b/>
          <w:i w:val="0"/>
          <w:color w:val="1F4E79"/>
          <w:sz w:val="26"/>
        </w:rPr>
        <w:t>2. Scope</w:t>
      </w:r>
    </w:p>
    <w:p>
      <w:pPr>
        <w:spacing w:before="0" w:after="80" w:line="252" w:lineRule="auto"/>
      </w:pPr>
      <w:r>
        <w:rPr>
          <w:rFonts w:ascii="Cambria" w:hAnsi="Cambria" w:eastAsia="Cambria" w:cs="Cambria"/>
          <w:b w:val="0"/>
          <w:i w:val="0"/>
          <w:color w:val="000000"/>
          <w:sz w:val="21"/>
        </w:rPr>
        <w:t>This procedure applies to internal audits covering the EnMS scope and boundaries, including relevant leadership, planning, support, operational control, energy-performance evaluation and improvement processes. It does not replace a technical energy audit conducted to identify energy performance improvement opportunities.</w:t>
      </w:r>
    </w:p>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Internal EnMS auditing and technical energy auditing are different activities. Use this procedure for management-system audits; use the Energy Audit Guidance for audits of energy use, consumption and improvement opportunities.</w:t>
            </w:r>
          </w:p>
        </w:tc>
      </w:tr>
    </w:tbl>
    <w:p>
      <w:pPr>
        <w:pStyle w:val="Heading1"/>
        <w:keepNext w:val="1"/>
      </w:pPr>
      <w:r>
        <w:rPr>
          <w:rFonts w:ascii="Cambria" w:hAnsi="Cambria" w:eastAsia="Cambria" w:cs="Cambria"/>
          <w:b/>
          <w:i w:val="0"/>
          <w:color w:val="1F4E79"/>
          <w:sz w:val="26"/>
        </w:rPr>
        <w:t>3. Responsibilities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66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Role</w:t>
            </w:r>
          </w:p>
        </w:tc>
        <w:tc>
          <w:tcPr>
            <w:tcW w:type="dxa" w:w="6690"/>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Responsibilities</w:t>
            </w:r>
          </w:p>
        </w:tc>
      </w:tr>
      <w:tr>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Top Management / Management Representative</w:t>
            </w:r>
          </w:p>
        </w:tc>
        <w:tc>
          <w:tcPr>
            <w:tcW w:type="dxa" w:w="669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Support the audit programme, ensure resources, receive significant results and ensure appropriate action.</w:t>
            </w:r>
          </w:p>
        </w:tc>
      </w:tr>
      <w:tr>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Audit Programme Manager</w:t>
            </w:r>
          </w:p>
        </w:tc>
        <w:tc>
          <w:tcPr>
            <w:tcW w:type="dxa" w:w="669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Maintain programme objectives, priorities, scope coverage, auditor competence and programme records.</w:t>
            </w:r>
          </w:p>
        </w:tc>
      </w:tr>
      <w:tr>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Lead Auditor</w:t>
            </w:r>
          </w:p>
        </w:tc>
        <w:tc>
          <w:tcPr>
            <w:tcW w:type="dxa" w:w="669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Plan the assigned audit, confirm criteria and scope, manage the audit team, issue the report and ensure evidence-based conclusions.</w:t>
            </w:r>
          </w:p>
        </w:tc>
      </w:tr>
      <w:tr>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Auditor</w:t>
            </w:r>
          </w:p>
        </w:tc>
        <w:tc>
          <w:tcPr>
            <w:tcW w:type="dxa" w:w="669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Prepare, collect and evaluate objective evidence, record findings and protect confidential information.</w:t>
            </w:r>
          </w:p>
        </w:tc>
      </w:tr>
      <w:tr>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Auditee / Process Owner</w:t>
            </w:r>
          </w:p>
        </w:tc>
        <w:tc>
          <w:tcPr>
            <w:tcW w:type="dxa" w:w="669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Provide access to personnel, records and areas; clarify process operation; own correction/corrective action as assigned.</w:t>
            </w:r>
          </w:p>
        </w:tc>
      </w:tr>
      <w:tr>
        <w:tc>
          <w:tcPr>
            <w:tcW w:type="dxa" w:w="266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 Coordinator</w:t>
            </w:r>
          </w:p>
        </w:tc>
        <w:tc>
          <w:tcPr>
            <w:tcW w:type="dxa" w:w="669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Track audit findings and actions, support closure verification and trend reporting.</w:t>
            </w:r>
          </w:p>
        </w:tc>
      </w:tr>
    </w:tbl>
    <w:p>
      <w:pPr>
        <w:pStyle w:val="Heading1"/>
        <w:keepNext w:val="1"/>
      </w:pPr>
      <w:r>
        <w:rPr>
          <w:rFonts w:ascii="Cambria" w:hAnsi="Cambria" w:eastAsia="Cambria" w:cs="Cambria"/>
          <w:b/>
          <w:i w:val="0"/>
          <w:color w:val="1F4E79"/>
          <w:sz w:val="26"/>
        </w:rPr>
        <w:t>4. Audit Principles</w:t>
      </w:r>
    </w:p>
    <w:p>
      <w:pPr>
        <w:spacing w:after="40"/>
        <w:ind w:left="283" w:hanging="170"/>
      </w:pPr>
      <w:r>
        <w:rPr>
          <w:rFonts w:ascii="Cambria" w:hAnsi="Cambria" w:eastAsia="Cambria" w:cs="Cambria"/>
          <w:b w:val="0"/>
          <w:i w:val="0"/>
          <w:color w:val="000000"/>
          <w:sz w:val="20"/>
        </w:rPr>
        <w:t>• Integrity and professional behaviour.</w:t>
      </w:r>
    </w:p>
    <w:p>
      <w:pPr>
        <w:spacing w:after="40"/>
        <w:ind w:left="283" w:hanging="170"/>
      </w:pPr>
      <w:r>
        <w:rPr>
          <w:rFonts w:ascii="Cambria" w:hAnsi="Cambria" w:eastAsia="Cambria" w:cs="Cambria"/>
          <w:b w:val="0"/>
          <w:i w:val="0"/>
          <w:color w:val="000000"/>
          <w:sz w:val="20"/>
        </w:rPr>
        <w:t>• Fair, accurate and complete presentation of evidence and conclusions.</w:t>
      </w:r>
    </w:p>
    <w:p>
      <w:pPr>
        <w:spacing w:after="40"/>
        <w:ind w:left="283" w:hanging="170"/>
      </w:pPr>
      <w:r>
        <w:rPr>
          <w:rFonts w:ascii="Cambria" w:hAnsi="Cambria" w:eastAsia="Cambria" w:cs="Cambria"/>
          <w:b w:val="0"/>
          <w:i w:val="0"/>
          <w:color w:val="000000"/>
          <w:sz w:val="20"/>
        </w:rPr>
        <w:t>• Due professional care proportionate to audit risk and complexity.</w:t>
      </w:r>
    </w:p>
    <w:p>
      <w:pPr>
        <w:spacing w:after="40"/>
        <w:ind w:left="283" w:hanging="170"/>
      </w:pPr>
      <w:r>
        <w:rPr>
          <w:rFonts w:ascii="Cambria" w:hAnsi="Cambria" w:eastAsia="Cambria" w:cs="Cambria"/>
          <w:b w:val="0"/>
          <w:i w:val="0"/>
          <w:color w:val="000000"/>
          <w:sz w:val="20"/>
        </w:rPr>
        <w:t>• Confidential handling of sensitive operational, energy and commercial information.</w:t>
      </w:r>
    </w:p>
    <w:p>
      <w:pPr>
        <w:spacing w:after="40"/>
        <w:ind w:left="283" w:hanging="170"/>
      </w:pPr>
      <w:r>
        <w:rPr>
          <w:rFonts w:ascii="Cambria" w:hAnsi="Cambria" w:eastAsia="Cambria" w:cs="Cambria"/>
          <w:b w:val="0"/>
          <w:i w:val="0"/>
          <w:color w:val="000000"/>
          <w:sz w:val="20"/>
        </w:rPr>
        <w:t>• Independence and objectivity appropriate to an internal audit.</w:t>
      </w:r>
    </w:p>
    <w:p>
      <w:pPr>
        <w:spacing w:after="40"/>
        <w:ind w:left="283" w:hanging="170"/>
      </w:pPr>
      <w:r>
        <w:rPr>
          <w:rFonts w:ascii="Cambria" w:hAnsi="Cambria" w:eastAsia="Cambria" w:cs="Cambria"/>
          <w:b w:val="0"/>
          <w:i w:val="0"/>
          <w:color w:val="000000"/>
          <w:sz w:val="20"/>
        </w:rPr>
        <w:t>• Evidence-based conclusions using verifiable samples.</w:t>
      </w:r>
    </w:p>
    <w:p>
      <w:pPr>
        <w:spacing w:after="40"/>
        <w:ind w:left="283" w:hanging="170"/>
      </w:pPr>
      <w:r>
        <w:rPr>
          <w:rFonts w:ascii="Cambria" w:hAnsi="Cambria" w:eastAsia="Cambria" w:cs="Cambria"/>
          <w:b w:val="0"/>
          <w:i w:val="0"/>
          <w:color w:val="000000"/>
          <w:sz w:val="20"/>
        </w:rPr>
        <w:t>• Risk-based focus on processes, changes, significant energy uses and prior issues.</w:t>
      </w:r>
    </w:p>
    <w:p>
      <w:pPr>
        <w:pStyle w:val="Heading1"/>
        <w:keepNext w:val="1"/>
      </w:pPr>
      <w:r>
        <w:rPr>
          <w:rFonts w:ascii="Cambria" w:hAnsi="Cambria" w:eastAsia="Cambria" w:cs="Cambria"/>
          <w:b/>
          <w:i w:val="0"/>
          <w:color w:val="1F4E79"/>
          <w:sz w:val="26"/>
        </w:rPr>
        <w:t>5. Procedure</w:t>
      </w:r>
    </w:p>
    <w:p>
      <w:pPr>
        <w:pStyle w:val="Heading2"/>
        <w:keepNext w:val="1"/>
      </w:pPr>
      <w:r>
        <w:rPr>
          <w:rFonts w:ascii="Cambria" w:hAnsi="Cambria" w:eastAsia="Cambria" w:cs="Cambria"/>
          <w:b/>
          <w:i w:val="0"/>
          <w:color w:val="000000"/>
          <w:sz w:val="23"/>
        </w:rPr>
        <w:t>5.1 Step 1 - Establish and Maintain the Audit Programme</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2422"/>
        <w:gridCol w:w="2422"/>
        <w:gridCol w:w="2422"/>
        <w:gridCol w:w="2422"/>
      </w:tblGrid>
      <w:tr>
        <w:trPr>
          <w:tblHeader w:val="true"/>
        </w:trPr>
        <w:tc>
          <w:tcPr>
            <w:tcW w:type="dxa" w:w="243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Activity</w:t>
            </w:r>
          </w:p>
        </w:tc>
        <w:tc>
          <w:tcPr>
            <w:tcW w:type="dxa" w:w="204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Responsible</w:t>
            </w:r>
          </w:p>
        </w:tc>
        <w:tc>
          <w:tcPr>
            <w:tcW w:type="dxa" w:w="368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Minimum Control</w:t>
            </w:r>
          </w:p>
        </w:tc>
        <w:tc>
          <w:tcPr>
            <w:tcW w:type="dxa" w:w="215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6"/>
              </w:rPr>
              <w:t>Output / Record</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Set programme objectives and coverage</w:t>
            </w:r>
          </w:p>
        </w:tc>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Audit Programme Manager</w:t>
            </w:r>
          </w:p>
        </w:tc>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Consider EnMS scope, process importance, energy-performance risk, significant changes and previous audit results.</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Internal audit programme.</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Determine audit frequency and methods</w:t>
            </w:r>
          </w:p>
        </w:tc>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Audit Programme Manager</w:t>
            </w:r>
          </w:p>
        </w:tc>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Use a frequency proportionate to importance and risk; include remote methods only where suitable.</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Audit schedule and method.</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Assign competent auditors</w:t>
            </w:r>
          </w:p>
        </w:tc>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Audit Programme Manager</w:t>
            </w:r>
          </w:p>
        </w:tc>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Confirm competence, objectivity and independence from the audited work where practicable.</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Audit team assignment.</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Monitor programme completion</w:t>
            </w:r>
          </w:p>
        </w:tc>
        <w:tc>
          <w:tcPr>
            <w:tcW w:type="dxa" w:w="204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Audit Programme Manager</w:t>
            </w:r>
          </w:p>
        </w:tc>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Track completed audits, overdue audits, repeated findings and resource constraints.</w:t>
            </w:r>
          </w:p>
        </w:tc>
        <w:tc>
          <w:tcPr>
            <w:tcW w:type="dxa" w:w="215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6"/>
              </w:rPr>
              <w:t>Programme status review.</w:t>
            </w:r>
          </w:p>
        </w:tc>
      </w:tr>
    </w:tbl>
    <w:p>
      <w:pPr>
        <w:pStyle w:val="Heading2"/>
        <w:keepNext w:val="1"/>
      </w:pPr>
      <w:r>
        <w:rPr>
          <w:rFonts w:ascii="Cambria" w:hAnsi="Cambria" w:eastAsia="Cambria" w:cs="Cambria"/>
          <w:b/>
          <w:i w:val="0"/>
          <w:color w:val="000000"/>
          <w:sz w:val="23"/>
        </w:rPr>
        <w:t>5.2 Step 2 - Initiate an Individual Audit</w:t>
      </w:r>
    </w:p>
    <w:p>
      <w:pPr>
        <w:spacing w:after="60"/>
        <w:ind w:left="283" w:hanging="283"/>
      </w:pPr>
      <w:r>
        <w:rPr>
          <w:rFonts w:ascii="Cambria" w:hAnsi="Cambria" w:eastAsia="Cambria" w:cs="Cambria"/>
          <w:b/>
          <w:i w:val="0"/>
          <w:color w:val="1F4E79"/>
          <w:sz w:val="21"/>
        </w:rPr>
        <w:t xml:space="preserve">1. </w:t>
      </w:r>
      <w:r>
        <w:rPr>
          <w:rFonts w:ascii="Cambria" w:hAnsi="Cambria" w:eastAsia="Cambria" w:cs="Cambria"/>
          <w:b w:val="0"/>
          <w:i w:val="0"/>
          <w:color w:val="000000"/>
          <w:sz w:val="21"/>
        </w:rPr>
        <w:t>Confirm audit objective, scope, criteria, locations/processes, timing and key contacts.</w:t>
      </w:r>
    </w:p>
    <w:p>
      <w:pPr>
        <w:spacing w:after="60"/>
        <w:ind w:left="283" w:hanging="283"/>
      </w:pPr>
      <w:r>
        <w:rPr>
          <w:rFonts w:ascii="Cambria" w:hAnsi="Cambria" w:eastAsia="Cambria" w:cs="Cambria"/>
          <w:b/>
          <w:i w:val="0"/>
          <w:color w:val="1F4E79"/>
          <w:sz w:val="21"/>
        </w:rPr>
        <w:t xml:space="preserve">2. </w:t>
      </w:r>
      <w:r>
        <w:rPr>
          <w:rFonts w:ascii="Cambria" w:hAnsi="Cambria" w:eastAsia="Cambria" w:cs="Cambria"/>
          <w:b w:val="0"/>
          <w:i w:val="0"/>
          <w:color w:val="000000"/>
          <w:sz w:val="21"/>
        </w:rPr>
        <w:t>Review relevant prior audits, management review decisions, energy-performance results, significant changes and open corrective actions.</w:t>
      </w:r>
    </w:p>
    <w:p>
      <w:pPr>
        <w:spacing w:after="60"/>
        <w:ind w:left="283" w:hanging="283"/>
      </w:pPr>
      <w:r>
        <w:rPr>
          <w:rFonts w:ascii="Cambria" w:hAnsi="Cambria" w:eastAsia="Cambria" w:cs="Cambria"/>
          <w:b/>
          <w:i w:val="0"/>
          <w:color w:val="1F4E79"/>
          <w:sz w:val="21"/>
        </w:rPr>
        <w:t xml:space="preserve">3. </w:t>
      </w:r>
      <w:r>
        <w:rPr>
          <w:rFonts w:ascii="Cambria" w:hAnsi="Cambria" w:eastAsia="Cambria" w:cs="Cambria"/>
          <w:b w:val="0"/>
          <w:i w:val="0"/>
          <w:color w:val="000000"/>
          <w:sz w:val="21"/>
        </w:rPr>
        <w:t>Identify process and energy-performance risks that should influence sampling depth.</w:t>
      </w:r>
    </w:p>
    <w:p>
      <w:pPr>
        <w:spacing w:after="60"/>
        <w:ind w:left="283" w:hanging="283"/>
      </w:pPr>
      <w:r>
        <w:rPr>
          <w:rFonts w:ascii="Cambria" w:hAnsi="Cambria" w:eastAsia="Cambria" w:cs="Cambria"/>
          <w:b/>
          <w:i w:val="0"/>
          <w:color w:val="1F4E79"/>
          <w:sz w:val="21"/>
        </w:rPr>
        <w:t xml:space="preserve">4. </w:t>
      </w:r>
      <w:r>
        <w:rPr>
          <w:rFonts w:ascii="Cambria" w:hAnsi="Cambria" w:eastAsia="Cambria" w:cs="Cambria"/>
          <w:b w:val="0"/>
          <w:i w:val="0"/>
          <w:color w:val="000000"/>
          <w:sz w:val="21"/>
        </w:rPr>
        <w:t>Issue an audit notification or agree timing with the auditee unless the approved programme requires unannounced activity.</w:t>
      </w:r>
    </w:p>
    <w:p>
      <w:pPr>
        <w:pStyle w:val="Heading2"/>
        <w:keepNext w:val="1"/>
      </w:pPr>
      <w:r>
        <w:rPr>
          <w:rFonts w:ascii="Cambria" w:hAnsi="Cambria" w:eastAsia="Cambria" w:cs="Cambria"/>
          <w:b/>
          <w:i w:val="0"/>
          <w:color w:val="000000"/>
          <w:sz w:val="23"/>
        </w:rPr>
        <w:t>5.3 Step 3 - Prepare the Audit</w:t>
      </w:r>
    </w:p>
    <w:p>
      <w:pPr>
        <w:spacing w:after="40"/>
        <w:ind w:left="283" w:hanging="170"/>
      </w:pPr>
      <w:r>
        <w:rPr>
          <w:rFonts w:ascii="Cambria" w:hAnsi="Cambria" w:eastAsia="Cambria" w:cs="Cambria"/>
          <w:b w:val="0"/>
          <w:i w:val="0"/>
          <w:color w:val="000000"/>
          <w:sz w:val="20"/>
        </w:rPr>
        <w:t>• Prepare a practical checklist or audit trail; do not limit the audit to checklist completion.</w:t>
      </w:r>
    </w:p>
    <w:p>
      <w:pPr>
        <w:spacing w:after="40"/>
        <w:ind w:left="283" w:hanging="170"/>
      </w:pPr>
      <w:r>
        <w:rPr>
          <w:rFonts w:ascii="Cambria" w:hAnsi="Cambria" w:eastAsia="Cambria" w:cs="Cambria"/>
          <w:b w:val="0"/>
          <w:i w:val="0"/>
          <w:color w:val="000000"/>
          <w:sz w:val="20"/>
        </w:rPr>
        <w:t>• Identify records and data to sample, including energy review, SEUs, EnPIs, energy baselines, objectives, operational controls and performance reports as applicable.</w:t>
      </w:r>
    </w:p>
    <w:p>
      <w:pPr>
        <w:spacing w:after="40"/>
        <w:ind w:left="283" w:hanging="170"/>
      </w:pPr>
      <w:r>
        <w:rPr>
          <w:rFonts w:ascii="Cambria" w:hAnsi="Cambria" w:eastAsia="Cambria" w:cs="Cambria"/>
          <w:b w:val="0"/>
          <w:i w:val="0"/>
          <w:color w:val="000000"/>
          <w:sz w:val="20"/>
        </w:rPr>
        <w:t>• Plan interviews with process owners and persons whose work can affect significant energy uses.</w:t>
      </w:r>
    </w:p>
    <w:p>
      <w:pPr>
        <w:spacing w:after="40"/>
        <w:ind w:left="283" w:hanging="170"/>
      </w:pPr>
      <w:r>
        <w:rPr>
          <w:rFonts w:ascii="Cambria" w:hAnsi="Cambria" w:eastAsia="Cambria" w:cs="Cambria"/>
          <w:b w:val="0"/>
          <w:i w:val="0"/>
          <w:color w:val="000000"/>
          <w:sz w:val="20"/>
        </w:rPr>
        <w:t>• Confirm access requirements, safety rules, confidentiality constraints and relevant equipment or system access.</w:t>
      </w:r>
    </w:p>
    <w:p>
      <w:pPr>
        <w:pStyle w:val="Heading2"/>
        <w:keepNext w:val="1"/>
      </w:pPr>
      <w:r>
        <w:rPr>
          <w:rFonts w:ascii="Cambria" w:hAnsi="Cambria" w:eastAsia="Cambria" w:cs="Cambria"/>
          <w:b/>
          <w:i w:val="0"/>
          <w:color w:val="000000"/>
          <w:sz w:val="23"/>
        </w:rPr>
        <w:t>5.4 Step 4 - Conduct the Audit</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43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Audit Activity</w:t>
            </w:r>
          </w:p>
        </w:tc>
        <w:tc>
          <w:tcPr>
            <w:tcW w:type="dxa" w:w="691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Expected Practice</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Opening discussion</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Confirm objective, scope, methods, communication route, safety and timing.</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Interview</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Use open questions to understand process intent, control and actual practice.</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Evidence sampling</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Sample records, energy data, documented information and physical controls proportionate to audit risk.</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Traceability</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Follow selected audit trails from policy/objective through planning, operation, monitoring and improvement evidence.</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Energy-performance focus</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Confirm that EnPIs, baselines, SEU controls and improvement claims are supported by suitable data and methods.</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Finding development</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Record the criterion, evidence, condition and significance. Avoid vague or unsupported statements.</w:t>
            </w:r>
          </w:p>
        </w:tc>
      </w:tr>
      <w:tr>
        <w:tc>
          <w:tcPr>
            <w:tcW w:type="dxa" w:w="243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Closing discussion</w:t>
            </w:r>
          </w:p>
        </w:tc>
        <w:tc>
          <w:tcPr>
            <w:tcW w:type="dxa" w:w="69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Present conclusions, clarify evidence and explain next steps without negotiating away objective findings.</w:t>
            </w:r>
          </w:p>
        </w:tc>
      </w:tr>
    </w:tbl>
    <w:p>
      <w:pPr>
        <w:pStyle w:val="Heading2"/>
        <w:keepNext w:val="1"/>
      </w:pPr>
      <w:r>
        <w:rPr>
          <w:rFonts w:ascii="Cambria" w:hAnsi="Cambria" w:eastAsia="Cambria" w:cs="Cambria"/>
          <w:b/>
          <w:i w:val="0"/>
          <w:color w:val="000000"/>
          <w:sz w:val="23"/>
        </w:rPr>
        <w:t>5.5 Step 5 - Classify and Record Findings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38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Finding Type</w:t>
            </w:r>
          </w:p>
        </w:tc>
        <w:tc>
          <w:tcPr>
            <w:tcW w:type="dxa" w:w="4706"/>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Use When</w:t>
            </w:r>
          </w:p>
        </w:tc>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Required Response</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Major Nonconformity</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 systemic or significant breakdown is identified, or evidence indicates the EnMS cannot reliably achieve intended control in the audited area.</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Immediate management attention, correction and formal corrective action.</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Minor Nonconformity</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 specific requirement or established control is not fully met but the issue is not systemic at the time of audit.</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Correction and proportionate corrective action.</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Opportunity for Improvement</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No nonconformity is established, but evidence indicates a practical opportunity to strengthen effectiveness or efficiency.</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Consider through improvement process; not treated as mandatory corrective action unless adopted.</w:t>
            </w:r>
          </w:p>
        </w:tc>
      </w:tr>
      <w:tr>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Conforming / Good Practice</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Evidence demonstrates effective control or useful practice.</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Maintain; share learning where beneficial.</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Finding classifications should be defined by the organization and applied consistently. Avoid using external certification-body grading rules unless they have been formally adopted for internal use.</w:t>
            </w:r>
          </w:p>
        </w:tc>
      </w:tr>
    </w:tbl>
    <w:p>
      <w:pPr>
        <w:pStyle w:val="Heading2"/>
        <w:keepNext w:val="1"/>
      </w:pPr>
      <w:r>
        <w:rPr>
          <w:rFonts w:ascii="Cambria" w:hAnsi="Cambria" w:eastAsia="Cambria" w:cs="Cambria"/>
          <w:b/>
          <w:i w:val="0"/>
          <w:color w:val="000000"/>
          <w:sz w:val="23"/>
        </w:rPr>
        <w:t>5.6 Step 6 - Prepare and Issue the Audit Report</w:t>
      </w:r>
    </w:p>
    <w:p>
      <w:pPr>
        <w:spacing w:after="40"/>
        <w:ind w:left="283" w:hanging="170"/>
      </w:pPr>
      <w:r>
        <w:rPr>
          <w:rFonts w:ascii="Cambria" w:hAnsi="Cambria" w:eastAsia="Cambria" w:cs="Cambria"/>
          <w:b w:val="0"/>
          <w:i w:val="0"/>
          <w:color w:val="000000"/>
          <w:sz w:val="20"/>
        </w:rPr>
        <w:t>• Identify audit objective, scope, criteria, dates, locations and audit team.</w:t>
      </w:r>
    </w:p>
    <w:p>
      <w:pPr>
        <w:spacing w:after="40"/>
        <w:ind w:left="283" w:hanging="170"/>
      </w:pPr>
      <w:r>
        <w:rPr>
          <w:rFonts w:ascii="Cambria" w:hAnsi="Cambria" w:eastAsia="Cambria" w:cs="Cambria"/>
          <w:b w:val="0"/>
          <w:i w:val="0"/>
          <w:color w:val="000000"/>
          <w:sz w:val="20"/>
        </w:rPr>
        <w:t>• Summarize audit method and sampled processes without implying complete verification of every record.</w:t>
      </w:r>
    </w:p>
    <w:p>
      <w:pPr>
        <w:spacing w:after="40"/>
        <w:ind w:left="283" w:hanging="170"/>
      </w:pPr>
      <w:r>
        <w:rPr>
          <w:rFonts w:ascii="Cambria" w:hAnsi="Cambria" w:eastAsia="Cambria" w:cs="Cambria"/>
          <w:b w:val="0"/>
          <w:i w:val="0"/>
          <w:color w:val="000000"/>
          <w:sz w:val="20"/>
        </w:rPr>
        <w:t>• State conclusions clearly and separate nonconformities from observations or improvement opportunities.</w:t>
      </w:r>
    </w:p>
    <w:p>
      <w:pPr>
        <w:spacing w:after="40"/>
        <w:ind w:left="283" w:hanging="170"/>
      </w:pPr>
      <w:r>
        <w:rPr>
          <w:rFonts w:ascii="Cambria" w:hAnsi="Cambria" w:eastAsia="Cambria" w:cs="Cambria"/>
          <w:b w:val="0"/>
          <w:i w:val="0"/>
          <w:color w:val="000000"/>
          <w:sz w:val="20"/>
        </w:rPr>
        <w:t>• Reference objective evidence and responsible process owners.</w:t>
      </w:r>
    </w:p>
    <w:p>
      <w:pPr>
        <w:spacing w:after="40"/>
        <w:ind w:left="283" w:hanging="170"/>
      </w:pPr>
      <w:r>
        <w:rPr>
          <w:rFonts w:ascii="Cambria" w:hAnsi="Cambria" w:eastAsia="Cambria" w:cs="Cambria"/>
          <w:b w:val="0"/>
          <w:i w:val="0"/>
          <w:color w:val="000000"/>
          <w:sz w:val="20"/>
        </w:rPr>
        <w:t>• Issue the report to defined recipients and retain it as controlled documented information.</w:t>
      </w:r>
    </w:p>
    <w:p>
      <w:pPr>
        <w:pStyle w:val="Heading2"/>
        <w:keepNext w:val="1"/>
      </w:pPr>
      <w:r>
        <w:rPr>
          <w:rFonts w:ascii="Cambria" w:hAnsi="Cambria" w:eastAsia="Cambria" w:cs="Cambria"/>
          <w:b/>
          <w:i w:val="0"/>
          <w:color w:val="000000"/>
          <w:sz w:val="23"/>
        </w:rPr>
        <w:t>5.7 Step 7 - Correction, Corrective Action and Follow-up</w:t>
      </w:r>
    </w:p>
    <w:p>
      <w:pPr>
        <w:spacing w:after="60"/>
        <w:ind w:left="283" w:hanging="283"/>
      </w:pPr>
      <w:r>
        <w:rPr>
          <w:rFonts w:ascii="Cambria" w:hAnsi="Cambria" w:eastAsia="Cambria" w:cs="Cambria"/>
          <w:b/>
          <w:i w:val="0"/>
          <w:color w:val="1F4E79"/>
          <w:sz w:val="21"/>
        </w:rPr>
        <w:t xml:space="preserve">1. </w:t>
      </w:r>
      <w:r>
        <w:rPr>
          <w:rFonts w:ascii="Cambria" w:hAnsi="Cambria" w:eastAsia="Cambria" w:cs="Cambria"/>
          <w:b w:val="0"/>
          <w:i w:val="0"/>
          <w:color w:val="000000"/>
          <w:sz w:val="21"/>
        </w:rPr>
        <w:t>Process owner contains or corrects the immediate issue where applicable.</w:t>
      </w:r>
    </w:p>
    <w:p>
      <w:pPr>
        <w:spacing w:after="60"/>
        <w:ind w:left="283" w:hanging="283"/>
      </w:pPr>
      <w:r>
        <w:rPr>
          <w:rFonts w:ascii="Cambria" w:hAnsi="Cambria" w:eastAsia="Cambria" w:cs="Cambria"/>
          <w:b/>
          <w:i w:val="0"/>
          <w:color w:val="1F4E79"/>
          <w:sz w:val="21"/>
        </w:rPr>
        <w:t xml:space="preserve">2. </w:t>
      </w:r>
      <w:r>
        <w:rPr>
          <w:rFonts w:ascii="Cambria" w:hAnsi="Cambria" w:eastAsia="Cambria" w:cs="Cambria"/>
          <w:b w:val="0"/>
          <w:i w:val="0"/>
          <w:color w:val="000000"/>
          <w:sz w:val="21"/>
        </w:rPr>
        <w:t>For nonconformities requiring corrective action, evaluate cause and determine actions proportionate to the issue.</w:t>
      </w:r>
    </w:p>
    <w:p>
      <w:pPr>
        <w:spacing w:after="60"/>
        <w:ind w:left="283" w:hanging="283"/>
      </w:pPr>
      <w:r>
        <w:rPr>
          <w:rFonts w:ascii="Cambria" w:hAnsi="Cambria" w:eastAsia="Cambria" w:cs="Cambria"/>
          <w:b/>
          <w:i w:val="0"/>
          <w:color w:val="1F4E79"/>
          <w:sz w:val="21"/>
        </w:rPr>
        <w:t xml:space="preserve">3. </w:t>
      </w:r>
      <w:r>
        <w:rPr>
          <w:rFonts w:ascii="Cambria" w:hAnsi="Cambria" w:eastAsia="Cambria" w:cs="Cambria"/>
          <w:b w:val="0"/>
          <w:i w:val="0"/>
          <w:color w:val="000000"/>
          <w:sz w:val="21"/>
        </w:rPr>
        <w:t>Assign owner, due date and required evidence.</w:t>
      </w:r>
    </w:p>
    <w:p>
      <w:pPr>
        <w:spacing w:after="60"/>
        <w:ind w:left="283" w:hanging="283"/>
      </w:pPr>
      <w:r>
        <w:rPr>
          <w:rFonts w:ascii="Cambria" w:hAnsi="Cambria" w:eastAsia="Cambria" w:cs="Cambria"/>
          <w:b/>
          <w:i w:val="0"/>
          <w:color w:val="1F4E79"/>
          <w:sz w:val="21"/>
        </w:rPr>
        <w:t xml:space="preserve">4. </w:t>
      </w:r>
      <w:r>
        <w:rPr>
          <w:rFonts w:ascii="Cambria" w:hAnsi="Cambria" w:eastAsia="Cambria" w:cs="Cambria"/>
          <w:b w:val="0"/>
          <w:i w:val="0"/>
          <w:color w:val="000000"/>
          <w:sz w:val="21"/>
        </w:rPr>
        <w:t>Verify implementation and effectiveness using objective evidence; do not close solely on a stated completion date.</w:t>
      </w:r>
    </w:p>
    <w:p>
      <w:pPr>
        <w:spacing w:after="60"/>
        <w:ind w:left="283" w:hanging="283"/>
      </w:pPr>
      <w:r>
        <w:rPr>
          <w:rFonts w:ascii="Cambria" w:hAnsi="Cambria" w:eastAsia="Cambria" w:cs="Cambria"/>
          <w:b/>
          <w:i w:val="0"/>
          <w:color w:val="1F4E79"/>
          <w:sz w:val="21"/>
        </w:rPr>
        <w:t xml:space="preserve">5. </w:t>
      </w:r>
      <w:r>
        <w:rPr>
          <w:rFonts w:ascii="Cambria" w:hAnsi="Cambria" w:eastAsia="Cambria" w:cs="Cambria"/>
          <w:b w:val="0"/>
          <w:i w:val="0"/>
          <w:color w:val="000000"/>
          <w:sz w:val="21"/>
        </w:rPr>
        <w:t>Escalate overdue or ineffective actions according to EnMS governance arrangements.</w:t>
      </w:r>
    </w:p>
    <w:p>
      <w:pPr>
        <w:spacing w:after="60"/>
        <w:ind w:left="283" w:hanging="283"/>
      </w:pPr>
      <w:r>
        <w:rPr>
          <w:rFonts w:ascii="Cambria" w:hAnsi="Cambria" w:eastAsia="Cambria" w:cs="Cambria"/>
          <w:b/>
          <w:i w:val="0"/>
          <w:color w:val="1F4E79"/>
          <w:sz w:val="21"/>
        </w:rPr>
        <w:t xml:space="preserve">6. </w:t>
      </w:r>
      <w:r>
        <w:rPr>
          <w:rFonts w:ascii="Cambria" w:hAnsi="Cambria" w:eastAsia="Cambria" w:cs="Cambria"/>
          <w:b w:val="0"/>
          <w:i w:val="0"/>
          <w:color w:val="000000"/>
          <w:sz w:val="21"/>
        </w:rPr>
        <w:t>Use recurring findings and audit trends as inputs to management review and improvement planning.</w:t>
      </w:r>
    </w:p>
    <w:p>
      <w:pPr>
        <w:pStyle w:val="Heading1"/>
        <w:keepNext w:val="1"/>
      </w:pPr>
      <w:r>
        <w:rPr>
          <w:rFonts w:ascii="Cambria" w:hAnsi="Cambria" w:eastAsia="Cambria" w:cs="Cambria"/>
          <w:b/>
          <w:i w:val="0"/>
          <w:color w:val="1F4E79"/>
          <w:sz w:val="26"/>
        </w:rPr>
        <w:t>6. Auditor Competence and Independence</w:t>
      </w:r>
    </w:p>
    <w:p>
      <w:pPr>
        <w:spacing w:before="0" w:after="80" w:line="252" w:lineRule="auto"/>
      </w:pPr>
      <w:r>
        <w:rPr>
          <w:rFonts w:ascii="Cambria" w:hAnsi="Cambria" w:eastAsia="Cambria" w:cs="Cambria"/>
          <w:b w:val="0"/>
          <w:i w:val="0"/>
          <w:color w:val="000000"/>
          <w:sz w:val="21"/>
        </w:rPr>
        <w:t>Auditor competence is evaluated based on management-system audit skills, ISO 50001 knowledge, understanding of the organization’s energy context and sufficient technical awareness to evaluate evidence without exceeding the auditor’s competence. Technical specialists may support the audit when required. Auditors should not audit their own work where this would compromise objectivity.</w:t>
      </w:r>
    </w:p>
    <w:p>
      <w:pPr>
        <w:pStyle w:val="Heading1"/>
        <w:keepNext w:val="1"/>
      </w:pPr>
      <w:r>
        <w:rPr>
          <w:rFonts w:ascii="Cambria" w:hAnsi="Cambria" w:eastAsia="Cambria" w:cs="Cambria"/>
          <w:b/>
          <w:i w:val="0"/>
          <w:color w:val="1F4E79"/>
          <w:sz w:val="26"/>
        </w:rPr>
        <w:t>7. Records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Record</w:t>
            </w:r>
          </w:p>
        </w:tc>
        <w:tc>
          <w:tcPr>
            <w:tcW w:type="dxa" w:w="453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Minimum Content</w:t>
            </w:r>
          </w:p>
        </w:tc>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Owner</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 Programme</w:t>
            </w:r>
          </w:p>
        </w:tc>
        <w:tc>
          <w:tcPr>
            <w:tcW w:type="dxa" w:w="45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Scope coverage, schedule, auditors, status and programme review.</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 Programme Manager</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 Plan / Checklist</w:t>
            </w:r>
          </w:p>
        </w:tc>
        <w:tc>
          <w:tcPr>
            <w:tcW w:type="dxa" w:w="45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Objective, scope, criteria, sampling plan and audit trails.</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Lead Auditor</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 Report</w:t>
            </w:r>
          </w:p>
        </w:tc>
        <w:tc>
          <w:tcPr>
            <w:tcW w:type="dxa" w:w="45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Evidence, findings, conclusions and distribution.</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Lead Auditor</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Finding / Action Record</w:t>
            </w:r>
          </w:p>
        </w:tc>
        <w:tc>
          <w:tcPr>
            <w:tcW w:type="dxa" w:w="45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Correction, cause, corrective action, due date, evidence and effectiveness verification.</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Process Owner / EnMS Coordinator</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Auditor Competence Record</w:t>
            </w:r>
          </w:p>
        </w:tc>
        <w:tc>
          <w:tcPr>
            <w:tcW w:type="dxa" w:w="45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Training, experience and competence evaluation.</w:t>
            </w:r>
          </w:p>
        </w:tc>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 Programme Manager / HR</w:t>
            </w:r>
          </w:p>
        </w:tc>
      </w:tr>
    </w:tbl>
    <w:p>
      <w:pPr>
        <w:pStyle w:val="Heading1"/>
        <w:keepNext w:val="1"/>
      </w:pPr>
      <w:r>
        <w:rPr>
          <w:rFonts w:ascii="Cambria" w:hAnsi="Cambria" w:eastAsia="Cambria" w:cs="Cambria"/>
          <w:b/>
          <w:i w:val="0"/>
          <w:color w:val="1F4E79"/>
          <w:sz w:val="26"/>
        </w:rPr>
        <w:t>8. Related Documents</w:t>
      </w:r>
    </w:p>
    <w:p>
      <w:pPr>
        <w:spacing w:after="40"/>
        <w:ind w:left="283" w:hanging="170"/>
      </w:pPr>
      <w:r>
        <w:rPr>
          <w:rFonts w:ascii="Cambria" w:hAnsi="Cambria" w:eastAsia="Cambria" w:cs="Cambria"/>
          <w:b w:val="0"/>
          <w:i w:val="0"/>
          <w:color w:val="000000"/>
          <w:sz w:val="20"/>
        </w:rPr>
        <w:t>• Internal Energy Audit Checklist.xlsx</w:t>
      </w:r>
    </w:p>
    <w:p>
      <w:pPr>
        <w:spacing w:after="40"/>
        <w:ind w:left="283" w:hanging="170"/>
      </w:pPr>
      <w:r>
        <w:rPr>
          <w:rFonts w:ascii="Cambria" w:hAnsi="Cambria" w:eastAsia="Cambria" w:cs="Cambria"/>
          <w:b w:val="0"/>
          <w:i w:val="0"/>
          <w:color w:val="000000"/>
          <w:sz w:val="20"/>
        </w:rPr>
        <w:t>• Internal Energy Audit Report.docx</w:t>
      </w:r>
    </w:p>
    <w:p>
      <w:pPr>
        <w:spacing w:after="40"/>
        <w:ind w:left="283" w:hanging="170"/>
      </w:pPr>
      <w:r>
        <w:rPr>
          <w:rFonts w:ascii="Cambria" w:hAnsi="Cambria" w:eastAsia="Cambria" w:cs="Cambria"/>
          <w:b w:val="0"/>
          <w:i w:val="0"/>
          <w:color w:val="000000"/>
          <w:sz w:val="20"/>
        </w:rPr>
        <w:t>• Corrective Action / Improvement Tracker</w:t>
      </w:r>
    </w:p>
    <w:p>
      <w:pPr>
        <w:spacing w:after="40"/>
        <w:ind w:left="283" w:hanging="170"/>
      </w:pPr>
      <w:r>
        <w:rPr>
          <w:rFonts w:ascii="Cambria" w:hAnsi="Cambria" w:eastAsia="Cambria" w:cs="Cambria"/>
          <w:b w:val="0"/>
          <w:i w:val="0"/>
          <w:color w:val="000000"/>
          <w:sz w:val="20"/>
        </w:rPr>
        <w:t>• Energy Management Gap Analysis.xlsx</w:t>
      </w:r>
    </w:p>
    <w:p>
      <w:pPr>
        <w:spacing w:after="40"/>
        <w:ind w:left="283" w:hanging="170"/>
      </w:pPr>
      <w:r>
        <w:rPr>
          <w:rFonts w:ascii="Cambria" w:hAnsi="Cambria" w:eastAsia="Cambria" w:cs="Cambria"/>
          <w:b w:val="0"/>
          <w:i w:val="0"/>
          <w:color w:val="000000"/>
          <w:sz w:val="20"/>
        </w:rPr>
        <w:t>• Management Review records and energy-performance reports.</w:t>
      </w:r>
    </w:p>
    <w:p>
      <w:pPr>
        <w:pStyle w:val="Heading1"/>
        <w:keepNext w:val="1"/>
      </w:pPr>
      <w:r>
        <w:rPr>
          <w:rFonts w:ascii="Cambria" w:hAnsi="Cambria" w:eastAsia="Cambria" w:cs="Cambria"/>
          <w:b/>
          <w:i w:val="0"/>
          <w:color w:val="1F4E79"/>
          <w:sz w:val="26"/>
        </w:rPr>
        <w:t>References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368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Reference</w:t>
            </w:r>
          </w:p>
        </w:tc>
        <w:tc>
          <w:tcPr>
            <w:tcW w:type="dxa" w:w="566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Official Source</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https://www.iso.org/standard/69426.html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50001:2018/Amd 1:2024</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https://www.iso.org/standard/88430.html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19011:2026</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https://www.iso.org/standard/19011</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50004:2020</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https://www.iso.org/standard/74863.html</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Use the organization's licensed copy of applicable standards for authoritative requirements. This toolkit paraphrases requirements and does not reproduce copyrighted standard text.</w:t>
            </w:r>
          </w:p>
        </w:tc>
      </w:tr>
    </w:tbl>
    <w:p>
      <w:pPr>
        <w:pStyle w:val="Heading1"/>
        <w:keepNext w:val="1"/>
      </w:pPr>
      <w:r>
        <w:rPr>
          <w:rFonts w:ascii="Cambria" w:hAnsi="Cambria" w:eastAsia="Cambria" w:cs="Cambria"/>
          <w:b/>
          <w:i w:val="0"/>
          <w:color w:val="1F4E79"/>
          <w:sz w:val="26"/>
        </w:rPr>
        <w:t>Revision and Approval</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1615"/>
        <w:gridCol w:w="1615"/>
        <w:gridCol w:w="1615"/>
        <w:gridCol w:w="1615"/>
        <w:gridCol w:w="1615"/>
        <w:gridCol w:w="1615"/>
      </w:tblGrid>
      <w:tr>
        <w:trPr>
          <w:tblHeader w:val="true"/>
        </w:trPr>
        <w:tc>
          <w:tcPr>
            <w:tcW w:type="dxa" w:w="79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Version</w:t>
            </w:r>
          </w:p>
        </w:tc>
        <w:tc>
          <w:tcPr>
            <w:tcW w:type="dxa" w:w="124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Date</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Description</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Prepared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Reviewed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Approved By</w:t>
            </w:r>
          </w:p>
        </w:tc>
      </w:tr>
      <w:tr>
        <w:tc>
          <w:tcPr>
            <w:tcW w:type="dxa" w:w="7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1.0</w:t>
            </w:r>
          </w:p>
        </w:tc>
        <w:tc>
          <w:tcPr>
            <w:tcW w:type="dxa" w:w="124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2026-09-19</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Initial issue</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[PREPARED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[REVIEWED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[APPROVER]</w:t>
            </w:r>
          </w:p>
        </w:tc>
      </w:tr>
    </w:tbl>
    <w:p>
      <w:pPr>
        <w:spacing w:before="0" w:after="80" w:line="252" w:lineRule="auto"/>
      </w:pPr>
      <w:r>
        <w:rPr>
          <w:rFonts w:ascii="Cambria" w:hAnsi="Cambria" w:eastAsia="Cambria" w:cs="Cambria"/>
          <w:b w:val="0"/>
          <w:i w:val="0"/>
          <w:color w:val="000000"/>
          <w:sz w:val="21"/>
        </w:rPr>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Control Field</w:t>
            </w:r>
          </w:p>
        </w:tc>
        <w:tc>
          <w:tcPr>
            <w:tcW w:type="dxa" w:w="70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Requirement</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Code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EnMS-PRO-001</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Review Cycle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Annual or upon significant change</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Retention Period</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As defined by the organization's record retention requirements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Classification</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INTERNAL</w:t>
            </w:r>
          </w:p>
        </w:tc>
      </w:tr>
    </w:tbl>
    <w:sectPr w:rsidR="00FC693F" w:rsidRPr="0006063C" w:rsidSect="00034616">
      <w:headerReference w:type="default" r:id="rId9"/>
      <w:footerReference w:type="default" r:id="rId10"/>
      <w:pgSz w:w="12240" w:h="15840"/>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eastAsia="Cambria" w:cs="Cambria"/>
        <w:b w:val="0"/>
        <w:i w:val="0"/>
        <w:color w:val="666666"/>
        <w:sz w:val="16"/>
      </w:rPr>
      <w:t xml:space="preserve">www.iso-toolkits.org  |  info@iso-toolkits.org  |  Page </w:t>
    </w:r>
    <w:r>
      <w:rPr>
        <w:rFonts w:ascii="Cambria" w:hAnsi="Cambria" w:eastAsia="Cambria" w:cs="Cambria"/>
        <w:b w:val="0"/>
        <w:i w:val="0"/>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ayout w:type="fixed"/>
      <w:tblLook w:firstColumn="1" w:firstRow="1" w:lastColumn="0" w:lastRow="0" w:noHBand="0" w:noVBand="1" w:val="04A0"/>
      <w:tblBorders>
        <w:top w:val="single" w:sz="3" w:space="0" w:color="D9E1E8"/>
        <w:left w:val="single" w:sz="3" w:space="0" w:color="D9E1E8"/>
        <w:bottom w:val="single" w:sz="3" w:space="0" w:color="D9E1E8"/>
        <w:right w:val="single" w:sz="3" w:space="0" w:color="D9E1E8"/>
        <w:insideH w:val="single" w:sz="3" w:space="0" w:color="D9E1E8"/>
        <w:insideV w:val="single" w:sz="3" w:space="0" w:color="D9E1E8"/>
      </w:tblBorders>
    </w:tblPr>
    <w:tblGrid>
      <w:gridCol w:w="1984"/>
      <w:gridCol w:w="4819"/>
      <w:gridCol w:w="2551"/>
    </w:tblGrid>
    <w:tr>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ORGANIZATION LOGO</w:t>
          </w:r>
        </w:p>
      </w:tc>
      <w:tc>
        <w:tcPr>
          <w:tcW w:type="dxa" w:w="3118"/>
          <w:tcMar>
            <w:top w:w="50" w:type="dxa"/>
            <w:left w:w="70" w:type="dxa"/>
            <w:bottom w:w="50" w:type="dxa"/>
            <w:right w:w="70" w:type="dxa"/>
          </w:tcMar>
          <w:vAlign w:val="center"/>
        </w:tcPr>
        <w:p>
          <w:pPr>
            <w:spacing w:before="0" w:after="0" w:line="240" w:lineRule="auto"/>
            <w:jc w:val="center"/>
          </w:pPr>
          <w:r>
            <w:rPr>
              <w:rFonts w:ascii="Cambria" w:hAnsi="Cambria" w:eastAsia="Cambria" w:cs="Cambria"/>
              <w:b/>
              <w:i w:val="0"/>
              <w:color w:val="1F4E79"/>
              <w:sz w:val="17"/>
            </w:rPr>
            <w:t>[ORGANIZATION NAME]</w:t>
            <w:br/>
            <w:t>Internal Energy Audit Procedure</w:t>
          </w:r>
        </w:p>
      </w:tc>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EnMS-PRO-001</w:t>
            <w:br/>
            <w:t>Version 1.0</w:t>
            <w:br/>
            <w:t>Effective: 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Energy Audit Procedure</dc:title>
  <dc:subject>Procedure for planning, conducting, reporting and following up internal audits of an ISO 50001 Energy Management System.</dc:subject>
  <dc:creator>ISO Toolkits</dc:creator>
  <cp:keywords>ISO 50001, internal audit, EnMS audit, ISO 19011, audit procedure</cp:keywords>
  <dc:description>ISO 50001 toolkit document. Website: www.iso-toolkits.org; Email: info@iso-toolkits.org</dc:description>
  <cp:lastModifiedBy>ISO Toolkits</cp:lastModifiedBy>
  <cp:revision>1</cp:revision>
  <dcterms:created xsi:type="dcterms:W3CDTF">2013-12-23T23:15:00Z</dcterms:created>
  <dcterms:modified xsi:type="dcterms:W3CDTF">2013-12-23T23:15:00Z</dcterms:modified>
  <cp:category>ISO 50001 Energy Management System</cp:category>
</cp:coreProperties>
</file>