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before="1100" w:after="240"/>
        <w:jc w:val="center"/>
      </w:pPr>
      <w:r>
        <w:rPr>
          <w:rFonts w:ascii="Cambria" w:hAnsi="Cambria" w:eastAsia="Cambria" w:cs="Cambria"/>
          <w:b/>
          <w:i w:val="0"/>
          <w:color w:val="1F4E79"/>
          <w:sz w:val="42"/>
        </w:rPr>
        <w:t>Energy Policy, Objectives &amp; Indicators Guidance</w:t>
      </w:r>
    </w:p>
    <w:p>
      <w:pPr>
        <w:spacing w:after="560"/>
        <w:jc w:val="center"/>
      </w:pPr>
      <w:r>
        <w:rPr>
          <w:rFonts w:ascii="Cambria" w:hAnsi="Cambria" w:eastAsia="Cambria" w:cs="Cambria"/>
          <w:b w:val="0"/>
          <w:i w:val="0"/>
          <w:color w:val="555555"/>
          <w:sz w:val="22"/>
        </w:rPr>
        <w:t>ISO 50001 Energy Management System</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118"/>
        <w:gridCol w:w="5386"/>
      </w:tblGrid>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Code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EnMS-GUI-002</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Version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1.0</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Effective Date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2026-09-19</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Classification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INTERNAL</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Owner</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Energy Manager / Top Management</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Approved By</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[APPROVER]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Applicable Standard</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ISO 50001:2018 + Amendment 1:2024</w:t>
            </w:r>
          </w:p>
        </w:tc>
      </w:tr>
    </w:tbl>
    <w:p>
      <w:pPr>
        <w:spacing w:before="480"/>
        <w:jc w:val="center"/>
      </w:pPr>
      <w:r>
        <w:rPr>
          <w:rFonts w:ascii="Cambria" w:hAnsi="Cambria" w:eastAsia="Cambria" w:cs="Cambria"/>
          <w:b/>
          <w:i w:val="0"/>
          <w:color w:val="1F4E79"/>
          <w:sz w:val="19"/>
        </w:rPr>
        <w:t>ISO TOOLKITS DOCUMENT</w:t>
      </w:r>
    </w:p>
    <w:p>
      <w:pPr>
        <w:jc w:val="center"/>
      </w:pPr>
      <w:r>
        <w:rPr>
          <w:rFonts w:ascii="Cambria" w:hAnsi="Cambria" w:eastAsia="Cambria" w:cs="Cambria"/>
          <w:b w:val="0"/>
          <w:i w:val="0"/>
          <w:color w:val="666666"/>
          <w:sz w:val="17"/>
        </w:rPr>
        <w:t>Website: www.iso-toolkits.org | Email: info@iso-toolkits.org</w:t>
      </w:r>
    </w:p>
    <w:p>
      <w:r>
        <w:br w:type="page"/>
      </w:r>
    </w:p>
    <w:p>
      <w:pPr>
        <w:pStyle w:val="Heading1"/>
        <w:keepNext w:val="1"/>
      </w:pPr>
      <w:r>
        <w:rPr>
          <w:rFonts w:ascii="Cambria" w:hAnsi="Cambria" w:eastAsia="Cambria" w:cs="Cambria"/>
          <w:b/>
          <w:i w:val="0"/>
          <w:color w:val="1F4E79"/>
          <w:sz w:val="26"/>
        </w:rPr>
        <w:t>1. Purpose</w:t>
      </w:r>
    </w:p>
    <w:p>
      <w:pPr>
        <w:spacing w:before="0" w:after="80" w:line="252" w:lineRule="auto"/>
      </w:pPr>
      <w:r>
        <w:rPr>
          <w:rFonts w:ascii="Cambria" w:hAnsi="Cambria" w:eastAsia="Cambria" w:cs="Cambria"/>
          <w:b w:val="0"/>
          <w:i w:val="0"/>
          <w:color w:val="000000"/>
          <w:sz w:val="21"/>
        </w:rPr>
        <w:t>This document provides practical guidance for creating an energy policy, translating it into measurable energy objectives and targets, and selecting Energy Performance Indicators (EnPIs) that support reliable evaluation of energy performance.</w:t>
      </w:r>
    </w:p>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Policy wording, objectives and EnPIs must reflect the organization’s own context, scope, energy review and business priorities. Examples in this guidance are illustrative only.</w:t>
            </w:r>
          </w:p>
        </w:tc>
      </w:tr>
    </w:tbl>
    <w:p>
      <w:pPr>
        <w:pStyle w:val="Heading1"/>
        <w:keepNext w:val="1"/>
      </w:pPr>
      <w:r>
        <w:rPr>
          <w:rFonts w:ascii="Cambria" w:hAnsi="Cambria" w:eastAsia="Cambria" w:cs="Cambria"/>
          <w:b/>
          <w:i w:val="0"/>
          <w:color w:val="1F4E79"/>
          <w:sz w:val="26"/>
        </w:rPr>
        <w:t>2. Energy Policy Development</w:t>
      </w:r>
    </w:p>
    <w:p>
      <w:pPr>
        <w:pStyle w:val="Heading2"/>
        <w:keepNext w:val="1"/>
      </w:pPr>
      <w:r>
        <w:rPr>
          <w:rFonts w:ascii="Cambria" w:hAnsi="Cambria" w:eastAsia="Cambria" w:cs="Cambria"/>
          <w:b/>
          <w:i w:val="0"/>
          <w:color w:val="000000"/>
          <w:sz w:val="23"/>
        </w:rPr>
        <w:t>2.1 What the Policy Should Achieve</w:t>
      </w:r>
    </w:p>
    <w:p>
      <w:pPr>
        <w:spacing w:after="40"/>
        <w:ind w:left="283" w:hanging="170"/>
      </w:pPr>
      <w:r>
        <w:rPr>
          <w:rFonts w:ascii="Cambria" w:hAnsi="Cambria" w:eastAsia="Cambria" w:cs="Cambria"/>
          <w:b w:val="0"/>
          <w:i w:val="0"/>
          <w:color w:val="000000"/>
          <w:sz w:val="20"/>
        </w:rPr>
        <w:t>• Provide a clear strategic direction for energy management and energy-performance improvement.</w:t>
      </w:r>
    </w:p>
    <w:p>
      <w:pPr>
        <w:spacing w:after="40"/>
        <w:ind w:left="283" w:hanging="170"/>
      </w:pPr>
      <w:r>
        <w:rPr>
          <w:rFonts w:ascii="Cambria" w:hAnsi="Cambria" w:eastAsia="Cambria" w:cs="Cambria"/>
          <w:b w:val="0"/>
          <w:i w:val="0"/>
          <w:color w:val="000000"/>
          <w:sz w:val="20"/>
        </w:rPr>
        <w:t>• Be appropriate to the organization’s purpose, activities and energy use.</w:t>
      </w:r>
    </w:p>
    <w:p>
      <w:pPr>
        <w:spacing w:after="40"/>
        <w:ind w:left="283" w:hanging="170"/>
      </w:pPr>
      <w:r>
        <w:rPr>
          <w:rFonts w:ascii="Cambria" w:hAnsi="Cambria" w:eastAsia="Cambria" w:cs="Cambria"/>
          <w:b w:val="0"/>
          <w:i w:val="0"/>
          <w:color w:val="000000"/>
          <w:sz w:val="20"/>
        </w:rPr>
        <w:t>• Provide a framework for setting and reviewing objectives and targets.</w:t>
      </w:r>
    </w:p>
    <w:p>
      <w:pPr>
        <w:spacing w:after="40"/>
        <w:ind w:left="283" w:hanging="170"/>
      </w:pPr>
      <w:r>
        <w:rPr>
          <w:rFonts w:ascii="Cambria" w:hAnsi="Cambria" w:eastAsia="Cambria" w:cs="Cambria"/>
          <w:b w:val="0"/>
          <w:i w:val="0"/>
          <w:color w:val="000000"/>
          <w:sz w:val="20"/>
        </w:rPr>
        <w:t>• Support availability of information and resources needed to achieve objectives.</w:t>
      </w:r>
    </w:p>
    <w:p>
      <w:pPr>
        <w:spacing w:after="40"/>
        <w:ind w:left="283" w:hanging="170"/>
      </w:pPr>
      <w:r>
        <w:rPr>
          <w:rFonts w:ascii="Cambria" w:hAnsi="Cambria" w:eastAsia="Cambria" w:cs="Cambria"/>
          <w:b w:val="0"/>
          <w:i w:val="0"/>
          <w:color w:val="000000"/>
          <w:sz w:val="20"/>
        </w:rPr>
        <w:t>• Address applicable legal, contractual and other energy-related requirements.</w:t>
      </w:r>
    </w:p>
    <w:p>
      <w:pPr>
        <w:spacing w:after="40"/>
        <w:ind w:left="283" w:hanging="170"/>
      </w:pPr>
      <w:r>
        <w:rPr>
          <w:rFonts w:ascii="Cambria" w:hAnsi="Cambria" w:eastAsia="Cambria" w:cs="Cambria"/>
          <w:b w:val="0"/>
          <w:i w:val="0"/>
          <w:color w:val="000000"/>
          <w:sz w:val="20"/>
        </w:rPr>
        <w:t>• Support energy-performance considerations in relevant design and procurement decisions.</w:t>
      </w:r>
    </w:p>
    <w:p>
      <w:pPr>
        <w:spacing w:after="40"/>
        <w:ind w:left="283" w:hanging="170"/>
      </w:pPr>
      <w:r>
        <w:rPr>
          <w:rFonts w:ascii="Cambria" w:hAnsi="Cambria" w:eastAsia="Cambria" w:cs="Cambria"/>
          <w:b w:val="0"/>
          <w:i w:val="0"/>
          <w:color w:val="000000"/>
          <w:sz w:val="20"/>
        </w:rPr>
        <w:t>• Commit to continual improvement of the EnMS and energy performance.</w:t>
      </w:r>
    </w:p>
    <w:p>
      <w:pPr>
        <w:pStyle w:val="Heading2"/>
        <w:keepNext w:val="1"/>
      </w:pPr>
      <w:r>
        <w:rPr>
          <w:rFonts w:ascii="Cambria" w:hAnsi="Cambria" w:eastAsia="Cambria" w:cs="Cambria"/>
          <w:b/>
          <w:i w:val="0"/>
          <w:color w:val="000000"/>
          <w:sz w:val="23"/>
        </w:rPr>
        <w:t>2.2 Policy Drafting Rules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464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Good Practice</w:t>
            </w:r>
          </w:p>
        </w:tc>
        <w:tc>
          <w:tcPr>
            <w:tcW w:type="dxa" w:w="4706"/>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Avoid</w:t>
            </w:r>
          </w:p>
        </w:tc>
      </w:tr>
      <w:tr>
        <w:tc>
          <w:tcPr>
            <w:tcW w:type="dxa" w:w="464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concise commitments that can be translated into actions and management decisions.</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Long promotional statements that cannot be audited or measured.</w:t>
            </w:r>
          </w:p>
        </w:tc>
      </w:tr>
      <w:tr>
        <w:tc>
          <w:tcPr>
            <w:tcW w:type="dxa" w:w="464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language understood by personnel and relevant interested parties.</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Technical jargon that obscures commitments.</w:t>
            </w:r>
          </w:p>
        </w:tc>
      </w:tr>
      <w:tr>
        <w:tc>
          <w:tcPr>
            <w:tcW w:type="dxa" w:w="464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Connect policy to organizational purpose and major energy uses.</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Generic wording copied from another organization.</w:t>
            </w:r>
          </w:p>
        </w:tc>
      </w:tr>
      <w:tr>
        <w:tc>
          <w:tcPr>
            <w:tcW w:type="dxa" w:w="464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ownership and formal approval.</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Unapproved drafts displayed as policy.</w:t>
            </w:r>
          </w:p>
        </w:tc>
      </w:tr>
      <w:tr>
        <w:tc>
          <w:tcPr>
            <w:tcW w:type="dxa" w:w="464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 after major business or EnMS changes.</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Treating the policy as a static document.</w:t>
            </w:r>
          </w:p>
        </w:tc>
      </w:tr>
    </w:tbl>
    <w:p>
      <w:pPr>
        <w:pStyle w:val="Heading2"/>
        <w:keepNext w:val="1"/>
      </w:pPr>
      <w:r>
        <w:rPr>
          <w:rFonts w:ascii="Cambria" w:hAnsi="Cambria" w:eastAsia="Cambria" w:cs="Cambria"/>
          <w:b/>
          <w:i w:val="0"/>
          <w:color w:val="000000"/>
          <w:sz w:val="23"/>
        </w:rPr>
        <w:t>2.3 Illustrative Energy Policy Structure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Policy Element</w:t>
            </w:r>
          </w:p>
        </w:tc>
        <w:tc>
          <w:tcPr>
            <w:tcW w:type="dxa" w:w="663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Illustrative Wording / Prompt</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Purpose</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[ORGANIZATION NAME] manages energy systematically to support resilient operations, responsible resource use and improved energy performance.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Performance Commitment</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 will improve energy performance through suitable objectives, EnPIs, operating controls and improvement initiatives.</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Information &amp; Resources</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 will provide the information, competent people and resources needed to operate and improve the EnMS.</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Requirements</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 will meet applicable energy-related legal, customer, contractual and other requirements adopted by the organization.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Design &amp; Procurement</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 will consider energy performance when designing, modifying or purchasing relevant facilities, systems, equipment and services.</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Continual Improvement</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 will continually improve the suitability, adequacy and effectiveness of the EnMS and the organization’s energy performance.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Approval</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Approved by: [TOP MANAGEMENT] | Date: [DATE]</w:t>
            </w:r>
          </w:p>
        </w:tc>
      </w:tr>
    </w:tbl>
    <w:p>
      <w:pPr>
        <w:pStyle w:val="Heading1"/>
        <w:keepNext w:val="1"/>
      </w:pPr>
      <w:r>
        <w:rPr>
          <w:rFonts w:ascii="Cambria" w:hAnsi="Cambria" w:eastAsia="Cambria" w:cs="Cambria"/>
          <w:b/>
          <w:i w:val="0"/>
          <w:color w:val="1F4E79"/>
          <w:sz w:val="26"/>
        </w:rPr>
        <w:t>3. From Policy to Objectives and Targets</w:t>
      </w:r>
    </w:p>
    <w:p>
      <w:pPr>
        <w:pStyle w:val="Heading2"/>
        <w:keepNext w:val="1"/>
      </w:pPr>
      <w:r>
        <w:rPr>
          <w:rFonts w:ascii="Cambria" w:hAnsi="Cambria" w:eastAsia="Cambria" w:cs="Cambria"/>
          <w:b/>
          <w:i w:val="0"/>
          <w:color w:val="000000"/>
          <w:sz w:val="23"/>
        </w:rPr>
        <w:t>3.1 Objective Design Principles</w:t>
      </w:r>
    </w:p>
    <w:p>
      <w:pPr>
        <w:spacing w:after="40"/>
        <w:ind w:left="283" w:hanging="170"/>
      </w:pPr>
      <w:r>
        <w:rPr>
          <w:rFonts w:ascii="Cambria" w:hAnsi="Cambria" w:eastAsia="Cambria" w:cs="Cambria"/>
          <w:b w:val="0"/>
          <w:i w:val="0"/>
          <w:color w:val="000000"/>
          <w:sz w:val="20"/>
        </w:rPr>
        <w:t>• Link objectives to the energy policy, energy review and significant energy uses.</w:t>
      </w:r>
    </w:p>
    <w:p>
      <w:pPr>
        <w:spacing w:after="40"/>
        <w:ind w:left="283" w:hanging="170"/>
      </w:pPr>
      <w:r>
        <w:rPr>
          <w:rFonts w:ascii="Cambria" w:hAnsi="Cambria" w:eastAsia="Cambria" w:cs="Cambria"/>
          <w:b w:val="0"/>
          <w:i w:val="0"/>
          <w:color w:val="000000"/>
          <w:sz w:val="20"/>
        </w:rPr>
        <w:t>• Make the intended performance outcome explicit: consumption reduction, normalized intensity improvement, control stability, data quality or implementation capability.</w:t>
      </w:r>
    </w:p>
    <w:p>
      <w:pPr>
        <w:spacing w:after="40"/>
        <w:ind w:left="283" w:hanging="170"/>
      </w:pPr>
      <w:r>
        <w:rPr>
          <w:rFonts w:ascii="Cambria" w:hAnsi="Cambria" w:eastAsia="Cambria" w:cs="Cambria"/>
          <w:b w:val="0"/>
          <w:i w:val="0"/>
          <w:color w:val="000000"/>
          <w:sz w:val="20"/>
        </w:rPr>
        <w:t>• Use measurable targets where practical and define the baseline/reference period.</w:t>
      </w:r>
    </w:p>
    <w:p>
      <w:pPr>
        <w:spacing w:after="40"/>
        <w:ind w:left="283" w:hanging="170"/>
      </w:pPr>
      <w:r>
        <w:rPr>
          <w:rFonts w:ascii="Cambria" w:hAnsi="Cambria" w:eastAsia="Cambria" w:cs="Cambria"/>
          <w:b w:val="0"/>
          <w:i w:val="0"/>
          <w:color w:val="000000"/>
          <w:sz w:val="20"/>
        </w:rPr>
        <w:t>• Assign one accountable owner and a realistic completion date.</w:t>
      </w:r>
    </w:p>
    <w:p>
      <w:pPr>
        <w:spacing w:after="40"/>
        <w:ind w:left="283" w:hanging="170"/>
      </w:pPr>
      <w:r>
        <w:rPr>
          <w:rFonts w:ascii="Cambria" w:hAnsi="Cambria" w:eastAsia="Cambria" w:cs="Cambria"/>
          <w:b w:val="0"/>
          <w:i w:val="0"/>
          <w:color w:val="000000"/>
          <w:sz w:val="20"/>
        </w:rPr>
        <w:t>• Define how achievement will be evaluated before implementation begins.</w:t>
      </w:r>
    </w:p>
    <w:p>
      <w:pPr>
        <w:spacing w:after="40"/>
        <w:ind w:left="283" w:hanging="170"/>
      </w:pPr>
      <w:r>
        <w:rPr>
          <w:rFonts w:ascii="Cambria" w:hAnsi="Cambria" w:eastAsia="Cambria" w:cs="Cambria"/>
          <w:b w:val="0"/>
          <w:i w:val="0"/>
          <w:color w:val="000000"/>
          <w:sz w:val="20"/>
        </w:rPr>
        <w:t>• Separate activity completion from energy-performance outcome where both matter.</w:t>
      </w:r>
    </w:p>
    <w:p>
      <w:pPr>
        <w:pStyle w:val="Heading2"/>
        <w:keepNext w:val="1"/>
      </w:pPr>
      <w:r>
        <w:rPr>
          <w:rFonts w:ascii="Cambria" w:hAnsi="Cambria" w:eastAsia="Cambria" w:cs="Cambria"/>
          <w:b/>
          <w:i w:val="0"/>
          <w:color w:val="000000"/>
          <w:sz w:val="23"/>
        </w:rPr>
        <w:t>3.2 Illustrative Objective and Indicator Set</w:t>
      </w:r>
    </w:p>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The following five rows are Illustrative Data only. Replace targets, dates and indicators with values derived from the organization’s energy review and approved priorities.</w:t>
            </w:r>
          </w:p>
        </w:tc>
      </w:tr>
    </w:tbl>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384"/>
        <w:gridCol w:w="1384"/>
        <w:gridCol w:w="1384"/>
        <w:gridCol w:w="1384"/>
        <w:gridCol w:w="1384"/>
        <w:gridCol w:w="1384"/>
        <w:gridCol w:w="1384"/>
      </w:tblGrid>
      <w:tr>
        <w:trPr>
          <w:tblHeader w:val="true"/>
        </w:trPr>
        <w:tc>
          <w:tcPr>
            <w:tcW w:type="dxa" w:w="1020"/>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Objective ID</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Illustrative Objective</w:t>
            </w:r>
          </w:p>
        </w:tc>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Target</w:t>
            </w:r>
          </w:p>
        </w:tc>
        <w:tc>
          <w:tcPr>
            <w:tcW w:type="dxa" w:w="215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Primary EnPI / Indicator</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Owner Role</w:t>
            </w:r>
          </w:p>
        </w:tc>
        <w:tc>
          <w:tcPr>
            <w:tcW w:type="dxa" w:w="113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Due Date</w:t>
            </w:r>
          </w:p>
        </w:tc>
        <w:tc>
          <w:tcPr>
            <w:tcW w:type="dxa" w:w="238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Evaluation Method</w:t>
            </w:r>
          </w:p>
        </w:tc>
      </w:tr>
      <w:tr>
        <w:tc>
          <w:tcPr>
            <w:tcW w:type="dxa" w:w="10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EX-OBJ-01</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Improve electricity performance of compressed-air generation.</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Reduce normalized compressor electricity intensity by 8% from the approved baseline.</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kWh per 1,000 Nm³ compressed air</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Utilities Manager</w:t>
            </w:r>
          </w:p>
        </w:tc>
        <w:tc>
          <w:tcPr>
            <w:tcW w:type="dxa" w:w="113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[DATE]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Monthly normalized EnPI trend and verified improvement actions.</w:t>
            </w:r>
          </w:p>
        </w:tc>
      </w:tr>
      <w:tr>
        <w:tc>
          <w:tcPr>
            <w:tcW w:type="dxa" w:w="10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EX-OBJ-02</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Improve chilled-water plant efficiency.</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Achieve average plant efficiency at or below the approved target during occupied cooling periods.</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kWh per ton-hour or equivalent approved cooling EnPI</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Facilities Manager</w:t>
            </w:r>
          </w:p>
        </w:tc>
        <w:tc>
          <w:tcPr>
            <w:tcW w:type="dxa" w:w="113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[DATE]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Trend performance by load and ambient conditions.</w:t>
            </w:r>
          </w:p>
        </w:tc>
      </w:tr>
      <w:tr>
        <w:tc>
          <w:tcPr>
            <w:tcW w:type="dxa" w:w="10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EX-OBJ-03</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Reduce avoidable boiler fuel consumption.</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Improve normalized fuel-to-steam performance by the approved percentage.</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Fuel energy per tonne of steam</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Maintenance Manager</w:t>
            </w:r>
          </w:p>
        </w:tc>
        <w:tc>
          <w:tcPr>
            <w:tcW w:type="dxa" w:w="113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[DATE]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Baseline comparison adjusted for steam load and operating conditions.</w:t>
            </w:r>
          </w:p>
        </w:tc>
      </w:tr>
      <w:tr>
        <w:tc>
          <w:tcPr>
            <w:tcW w:type="dxa" w:w="10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EX-OBJ-04</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Increase metering coverage for significant energy uses.</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Provide verified measurement coverage for all designated SEUs.</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 of SEUs with approved measurement/data method</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Energy Manager</w:t>
            </w:r>
          </w:p>
        </w:tc>
        <w:tc>
          <w:tcPr>
            <w:tcW w:type="dxa" w:w="113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[DATE]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Metering/data-plan completion and data-quality verification.</w:t>
            </w:r>
          </w:p>
        </w:tc>
      </w:tr>
      <w:tr>
        <w:tc>
          <w:tcPr>
            <w:tcW w:type="dxa" w:w="10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EX-OBJ-05</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Strengthen operator energy-control capability.</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Demonstrate competence for all identified roles affecting SEU performance.</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 of identified roles with verified competence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HR / Energy Manager</w:t>
            </w:r>
          </w:p>
        </w:tc>
        <w:tc>
          <w:tcPr>
            <w:tcW w:type="dxa" w:w="113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[DATE]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Competence assessment and operating evidence.</w:t>
            </w:r>
          </w:p>
        </w:tc>
      </w:tr>
    </w:tbl>
    <w:p>
      <w:pPr>
        <w:pStyle w:val="Heading1"/>
        <w:keepNext w:val="1"/>
      </w:pPr>
      <w:r>
        <w:rPr>
          <w:rFonts w:ascii="Cambria" w:hAnsi="Cambria" w:eastAsia="Cambria" w:cs="Cambria"/>
          <w:b/>
          <w:i w:val="0"/>
          <w:color w:val="1F4E79"/>
          <w:sz w:val="26"/>
        </w:rPr>
        <w:t>4. Selecting Energy Performance Indicators</w:t>
      </w:r>
    </w:p>
    <w:p>
      <w:pPr>
        <w:pStyle w:val="Heading2"/>
        <w:keepNext w:val="1"/>
      </w:pPr>
      <w:r>
        <w:rPr>
          <w:rFonts w:ascii="Cambria" w:hAnsi="Cambria" w:eastAsia="Cambria" w:cs="Cambria"/>
          <w:b/>
          <w:i w:val="0"/>
          <w:color w:val="000000"/>
          <w:sz w:val="23"/>
        </w:rPr>
        <w:t>4.1 EnPI Selection Logic</w:t>
      </w:r>
    </w:p>
    <w:p>
      <w:pPr>
        <w:spacing w:before="0" w:after="80" w:line="252" w:lineRule="auto"/>
      </w:pPr>
      <w:r>
        <w:rPr>
          <w:rFonts w:ascii="Cambria" w:hAnsi="Cambria" w:eastAsia="Cambria" w:cs="Cambria"/>
          <w:b w:val="0"/>
          <w:i w:val="0"/>
          <w:color w:val="000000"/>
          <w:sz w:val="21"/>
        </w:rPr>
        <w:t>An EnPI should answer a decision question. Examples include whether an SEU is becoming more efficient, whether a production increase explains higher consumption, whether an improvement project delivered the expected result, or whether operating controls are maintaining performance within an expected range.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38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EnPI Type</w:t>
            </w:r>
          </w:p>
        </w:tc>
        <w:tc>
          <w:tcPr>
            <w:tcW w:type="dxa" w:w="430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When Useful</w:t>
            </w:r>
          </w:p>
        </w:tc>
        <w:tc>
          <w:tcPr>
            <w:tcW w:type="dxa" w:w="266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Example</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Absolute consumption</w:t>
            </w:r>
          </w:p>
        </w:tc>
        <w:tc>
          <w:tcPr>
            <w:tcW w:type="dxa" w:w="430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When activity is stable or total energy use itself is the management objective.</w:t>
            </w:r>
          </w:p>
        </w:tc>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Monthly electricity consumption (kWh).</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Simple ratio / intensity</w:t>
            </w:r>
          </w:p>
        </w:tc>
        <w:tc>
          <w:tcPr>
            <w:tcW w:type="dxa" w:w="430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When a meaningful activity driver explains much of the energy change.</w:t>
            </w:r>
          </w:p>
        </w:tc>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kWh per tonne of product.</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Normalized indicator / model</w:t>
            </w:r>
          </w:p>
        </w:tc>
        <w:tc>
          <w:tcPr>
            <w:tcW w:type="dxa" w:w="430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When one or more relevant variables materially affect consumption.</w:t>
            </w:r>
          </w:p>
        </w:tc>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Weather- and occupancy-normalized building energy use.</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Equipment / system efficiency</w:t>
            </w:r>
          </w:p>
        </w:tc>
        <w:tc>
          <w:tcPr>
            <w:tcW w:type="dxa" w:w="430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When system output can be measured or reasonably estimated.</w:t>
            </w:r>
          </w:p>
        </w:tc>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kWh per unit of compressed air or cooling output.</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Implementation / support indicator</w:t>
            </w:r>
          </w:p>
        </w:tc>
        <w:tc>
          <w:tcPr>
            <w:tcW w:type="dxa" w:w="430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When system capability supports energy improvement but is not itself an energy-performance metric.</w:t>
            </w:r>
          </w:p>
        </w:tc>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 metering coverage or % trained roles.</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Do not label every project KPI as an EnPI. EnPIs evaluate energy performance; supporting implementation metrics such as training completion or document status are management indicators, not direct energy-performance indicators.</w:t>
            </w:r>
          </w:p>
        </w:tc>
      </w:tr>
    </w:tbl>
    <w:p>
      <w:pPr>
        <w:pStyle w:val="Heading2"/>
        <w:keepNext w:val="1"/>
      </w:pPr>
      <w:r>
        <w:rPr>
          <w:rFonts w:ascii="Cambria" w:hAnsi="Cambria" w:eastAsia="Cambria" w:cs="Cambria"/>
          <w:b/>
          <w:i w:val="0"/>
          <w:color w:val="000000"/>
          <w:sz w:val="23"/>
        </w:rPr>
        <w:t>4.2 EnPI Definition Sheet</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Field</w:t>
            </w:r>
          </w:p>
        </w:tc>
        <w:tc>
          <w:tcPr>
            <w:tcW w:type="dxa" w:w="663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Required Definition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EnPI ID / Name</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Unique identifier and plain-language description.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Purpose</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Decision or performance question the EnPI supports.</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Scope</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Facility, process, SEU, asset or organizational coverage.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Numerator / Energy Data</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type, source, units and data source.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Relevant Variable / Denominator</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Driver or model variable, with unit and source.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Calculation / Model</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Formula, model or controlled analytical method.</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Performance Direction</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lower, higher or a defined range represents better performance.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Baseline / Reference</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Associated EnB or reference condition.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Target</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Approved performance target, if used.</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Frequency</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Calculation and review frequency.</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Owner</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Role accountable for data quality and interpretation.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Adjustment Trigger</w:t>
            </w:r>
          </w:p>
        </w:tc>
        <w:tc>
          <w:tcPr>
            <w:tcW w:type="dxa" w:w="663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Conditions that require review of the indicator or associated baseline.</w:t>
            </w:r>
          </w:p>
        </w:tc>
      </w:tr>
    </w:tbl>
    <w:p>
      <w:pPr>
        <w:pStyle w:val="Heading1"/>
        <w:keepNext w:val="1"/>
      </w:pPr>
      <w:r>
        <w:rPr>
          <w:rFonts w:ascii="Cambria" w:hAnsi="Cambria" w:eastAsia="Cambria" w:cs="Cambria"/>
          <w:b/>
          <w:i w:val="0"/>
          <w:color w:val="1F4E79"/>
          <w:sz w:val="26"/>
        </w:rPr>
        <w:t>5. Energy Baselines and Target Setting</w:t>
      </w:r>
    </w:p>
    <w:p>
      <w:pPr>
        <w:spacing w:before="0" w:after="80" w:line="252" w:lineRule="auto"/>
      </w:pPr>
      <w:r>
        <w:rPr>
          <w:rFonts w:ascii="Cambria" w:hAnsi="Cambria" w:eastAsia="Cambria" w:cs="Cambria"/>
          <w:b w:val="0"/>
          <w:i w:val="0"/>
          <w:color w:val="000000"/>
          <w:sz w:val="21"/>
        </w:rPr>
        <w:t>Targets should be compared against a controlled baseline or other defined reference appropriate to the EnPI. The organization should confirm that the baseline period is representative, that relevant variables and static factors are understood, and that major changes are evaluated before interpreting performance.</w:t>
      </w:r>
    </w:p>
    <w:p>
      <w:pPr>
        <w:spacing w:after="40"/>
        <w:ind w:left="283" w:hanging="170"/>
      </w:pPr>
      <w:r>
        <w:rPr>
          <w:rFonts w:ascii="Cambria" w:hAnsi="Cambria" w:eastAsia="Cambria" w:cs="Cambria"/>
          <w:b w:val="0"/>
          <w:i w:val="0"/>
          <w:color w:val="000000"/>
          <w:sz w:val="20"/>
        </w:rPr>
        <w:t>• Use a baseline period with reliable and representative data.</w:t>
      </w:r>
    </w:p>
    <w:p>
      <w:pPr>
        <w:spacing w:after="40"/>
        <w:ind w:left="283" w:hanging="170"/>
      </w:pPr>
      <w:r>
        <w:rPr>
          <w:rFonts w:ascii="Cambria" w:hAnsi="Cambria" w:eastAsia="Cambria" w:cs="Cambria"/>
          <w:b w:val="0"/>
          <w:i w:val="0"/>
          <w:color w:val="000000"/>
          <w:sz w:val="20"/>
        </w:rPr>
        <w:t>• Document data exclusions, normalization assumptions and model choices.</w:t>
      </w:r>
    </w:p>
    <w:p>
      <w:pPr>
        <w:spacing w:after="40"/>
        <w:ind w:left="283" w:hanging="170"/>
      </w:pPr>
      <w:r>
        <w:rPr>
          <w:rFonts w:ascii="Cambria" w:hAnsi="Cambria" w:eastAsia="Cambria" w:cs="Cambria"/>
          <w:b w:val="0"/>
          <w:i w:val="0"/>
          <w:color w:val="000000"/>
          <w:sz w:val="20"/>
        </w:rPr>
        <w:t>• Define significant-change triggers that require baseline review.</w:t>
      </w:r>
    </w:p>
    <w:p>
      <w:pPr>
        <w:spacing w:after="40"/>
        <w:ind w:left="283" w:hanging="170"/>
      </w:pPr>
      <w:r>
        <w:rPr>
          <w:rFonts w:ascii="Cambria" w:hAnsi="Cambria" w:eastAsia="Cambria" w:cs="Cambria"/>
          <w:b w:val="0"/>
          <w:i w:val="0"/>
          <w:color w:val="000000"/>
          <w:sz w:val="20"/>
        </w:rPr>
        <w:t>• Do not revise a baseline merely to make performance appear improved.</w:t>
      </w:r>
    </w:p>
    <w:p>
      <w:pPr>
        <w:spacing w:after="40"/>
        <w:ind w:left="283" w:hanging="170"/>
      </w:pPr>
      <w:r>
        <w:rPr>
          <w:rFonts w:ascii="Cambria" w:hAnsi="Cambria" w:eastAsia="Cambria" w:cs="Cambria"/>
          <w:b w:val="0"/>
          <w:i w:val="0"/>
          <w:color w:val="000000"/>
          <w:sz w:val="20"/>
        </w:rPr>
        <w:t>• Retain approval and rationale for any adjusted or re-established baseline.</w:t>
      </w:r>
    </w:p>
    <w:p>
      <w:pPr>
        <w:pStyle w:val="Heading1"/>
        <w:keepNext w:val="1"/>
      </w:pPr>
      <w:r>
        <w:rPr>
          <w:rFonts w:ascii="Cambria" w:hAnsi="Cambria" w:eastAsia="Cambria" w:cs="Cambria"/>
          <w:b/>
          <w:i w:val="0"/>
          <w:color w:val="1F4E79"/>
          <w:sz w:val="26"/>
        </w:rPr>
        <w:t>6. Objective and EnPI Governance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4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 Point</w:t>
            </w:r>
          </w:p>
        </w:tc>
        <w:tc>
          <w:tcPr>
            <w:tcW w:type="dxa" w:w="4422"/>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Management Question</w:t>
            </w:r>
          </w:p>
        </w:tc>
        <w:tc>
          <w:tcPr>
            <w:tcW w:type="dxa" w:w="243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Evidence</w:t>
            </w:r>
          </w:p>
        </w:tc>
      </w:tr>
      <w:tr>
        <w:tc>
          <w:tcPr>
            <w:tcW w:type="dxa" w:w="24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Monthly / Operational Review</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Are current EnPIs within expected range? Are deviations understood and acted on?</w:t>
            </w:r>
          </w:p>
        </w:tc>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Trend chart, SEU review, action records.</w:t>
            </w:r>
          </w:p>
        </w:tc>
      </w:tr>
      <w:tr>
        <w:tc>
          <w:tcPr>
            <w:tcW w:type="dxa" w:w="24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Quarterly / Business Review</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Are objectives on track and are resources or priorities changing?</w:t>
            </w:r>
          </w:p>
        </w:tc>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Objective tracker, investment status, verified savings.</w:t>
            </w:r>
          </w:p>
        </w:tc>
      </w:tr>
      <w:tr>
        <w:tc>
          <w:tcPr>
            <w:tcW w:type="dxa" w:w="24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Management Review</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Are policy commitments, objectives and energy-performance outcomes still appropriate and effective?</w:t>
            </w:r>
          </w:p>
        </w:tc>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Management review inputs, decisions and actions.</w:t>
            </w:r>
          </w:p>
        </w:tc>
      </w:tr>
      <w:tr>
        <w:tc>
          <w:tcPr>
            <w:tcW w:type="dxa" w:w="24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After Significant Change</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Do EnPIs, baselines or objectives still represent current operations?</w:t>
            </w:r>
          </w:p>
        </w:tc>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Change review, revised model/baseline approval.</w:t>
            </w:r>
          </w:p>
        </w:tc>
      </w:tr>
    </w:tbl>
    <w:p>
      <w:pPr>
        <w:pStyle w:val="Heading1"/>
        <w:keepNext w:val="1"/>
      </w:pPr>
      <w:r>
        <w:rPr>
          <w:rFonts w:ascii="Cambria" w:hAnsi="Cambria" w:eastAsia="Cambria" w:cs="Cambria"/>
          <w:b/>
          <w:i w:val="0"/>
          <w:color w:val="1F4E79"/>
          <w:sz w:val="26"/>
        </w:rPr>
        <w:t>7. Common Errors to Avoid</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436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Error</w:t>
            </w:r>
          </w:p>
        </w:tc>
        <w:tc>
          <w:tcPr>
            <w:tcW w:type="dxa" w:w="498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Better Approach</w:t>
            </w:r>
          </w:p>
        </w:tc>
      </w:tr>
      <w:tr>
        <w:tc>
          <w:tcPr>
            <w:tcW w:type="dxa" w:w="43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Objective states only “reduce energy” without baseline, target or owner.</w:t>
            </w:r>
          </w:p>
        </w:tc>
        <w:tc>
          <w:tcPr>
            <w:tcW w:type="dxa" w:w="498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the performance outcome, reference, measure, owner and date.</w:t>
            </w:r>
          </w:p>
        </w:tc>
      </w:tr>
      <w:tr>
        <w:tc>
          <w:tcPr>
            <w:tcW w:type="dxa" w:w="43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 ratio is used even though the denominator does not explain energy variation.</w:t>
            </w:r>
          </w:p>
        </w:tc>
        <w:tc>
          <w:tcPr>
            <w:tcW w:type="dxa" w:w="498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Test whether the proposed relevant variable materially improves interpretation.</w:t>
            </w:r>
          </w:p>
        </w:tc>
      </w:tr>
      <w:tr>
        <w:tc>
          <w:tcPr>
            <w:tcW w:type="dxa" w:w="43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Baseline is changed every time actual performance deteriorates.</w:t>
            </w:r>
          </w:p>
        </w:tc>
        <w:tc>
          <w:tcPr>
            <w:tcW w:type="dxa" w:w="498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documented adjustment criteria and maintain a traceable rationale.</w:t>
            </w:r>
          </w:p>
        </w:tc>
      </w:tr>
      <w:tr>
        <w:tc>
          <w:tcPr>
            <w:tcW w:type="dxa" w:w="43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Project completion is treated as proof of energy improvement.</w:t>
            </w:r>
          </w:p>
        </w:tc>
        <w:tc>
          <w:tcPr>
            <w:tcW w:type="dxa" w:w="498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Verify the post-implementation energy-performance result.</w:t>
            </w:r>
          </w:p>
        </w:tc>
      </w:tr>
      <w:tr>
        <w:tc>
          <w:tcPr>
            <w:tcW w:type="dxa" w:w="43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EnPI data is manually edited without traceability.</w:t>
            </w:r>
          </w:p>
        </w:tc>
        <w:tc>
          <w:tcPr>
            <w:tcW w:type="dxa" w:w="498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Control source data, calculation logic and corrections.</w:t>
            </w:r>
          </w:p>
        </w:tc>
      </w:tr>
    </w:tbl>
    <w:p>
      <w:pPr>
        <w:pStyle w:val="Heading1"/>
        <w:keepNext w:val="1"/>
      </w:pPr>
      <w:r>
        <w:rPr>
          <w:rFonts w:ascii="Cambria" w:hAnsi="Cambria" w:eastAsia="Cambria" w:cs="Cambria"/>
          <w:b/>
          <w:i w:val="0"/>
          <w:color w:val="1F4E79"/>
          <w:sz w:val="26"/>
        </w:rPr>
        <w:t>References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Reference</w:t>
            </w:r>
          </w:p>
        </w:tc>
        <w:tc>
          <w:tcPr>
            <w:tcW w:type="dxa" w:w="56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Official Source</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https://www.iso.org/standard/69426.html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50001:2018/Amd 1:2024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https://www.iso.org/standard/88430.html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50004:2020</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https://www.iso.org/standard/74863.html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50006:2023</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https://www.iso.org/standard/79367.html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50015:2014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https://www.iso.org/standard/60043.html</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Use the organization's licensed copy of applicable standards for authoritative requirements. This toolkit paraphrases requirements and does not reproduce copyrighted standard text.</w:t>
            </w:r>
          </w:p>
        </w:tc>
      </w:tr>
    </w:tbl>
    <w:p>
      <w:pPr>
        <w:pStyle w:val="Heading1"/>
        <w:keepNext w:val="1"/>
      </w:pPr>
      <w:r>
        <w:rPr>
          <w:rFonts w:ascii="Cambria" w:hAnsi="Cambria" w:eastAsia="Cambria" w:cs="Cambria"/>
          <w:b/>
          <w:i w:val="0"/>
          <w:color w:val="1F4E79"/>
          <w:sz w:val="26"/>
        </w:rPr>
        <w:t>Revision and Approval</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615"/>
        <w:gridCol w:w="1615"/>
        <w:gridCol w:w="1615"/>
        <w:gridCol w:w="1615"/>
        <w:gridCol w:w="1615"/>
        <w:gridCol w:w="1615"/>
      </w:tblGrid>
      <w:tr>
        <w:trPr>
          <w:tblHeader w:val="true"/>
        </w:trPr>
        <w:tc>
          <w:tcPr>
            <w:tcW w:type="dxa" w:w="7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Version</w:t>
            </w:r>
          </w:p>
        </w:tc>
        <w:tc>
          <w:tcPr>
            <w:tcW w:type="dxa" w:w="124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Date</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Description</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Prepared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Approved By</w:t>
            </w:r>
          </w:p>
        </w:tc>
      </w:tr>
      <w:tr>
        <w:tc>
          <w:tcPr>
            <w:tcW w:type="dxa" w:w="7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1.0</w:t>
            </w:r>
          </w:p>
        </w:tc>
        <w:tc>
          <w:tcPr>
            <w:tcW w:type="dxa" w:w="124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2026-09-19</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Initial issue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[PREPARED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[APPROVER]</w:t>
            </w:r>
          </w:p>
        </w:tc>
      </w:tr>
    </w:tbl>
    <w:p>
      <w:pPr>
        <w:spacing w:before="0" w:after="80" w:line="252" w:lineRule="auto"/>
      </w:pPr>
      <w:r>
        <w:rPr>
          <w:rFonts w:ascii="Cambria" w:hAnsi="Cambria" w:eastAsia="Cambria" w:cs="Cambria"/>
          <w:b w:val="0"/>
          <w:i w:val="0"/>
          <w:color w:val="000000"/>
          <w:sz w:val="21"/>
        </w:rPr>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 Field</w:t>
            </w:r>
          </w:p>
        </w:tc>
        <w:tc>
          <w:tcPr>
            <w:tcW w:type="dxa" w:w="70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Requirement</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Code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EnMS-GUI-002</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Review Cycle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Annual or upon significant change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Retention Period</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As defined by the organization's record retention requirements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Classification</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w:t>
            </w:r>
          </w:p>
        </w:tc>
      </w:tr>
    </w:tbl>
    <w:sectPr w:rsidR="00FC693F" w:rsidRPr="0006063C" w:rsidSect="00034616">
      <w:headerReference w:type="default" r:id="rId9"/>
      <w:footerReference w:type="default" r:id="rId10"/>
      <w:pgSz w:w="12240" w:h="15840"/>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eastAsia="Cambria" w:cs="Cambria"/>
        <w:b w:val="0"/>
        <w:i w:val="0"/>
        <w:color w:val="666666"/>
        <w:sz w:val="16"/>
      </w:rPr>
      <w:t xml:space="preserve">www.iso-toolkits.org  |  info@iso-toolkits.org  |  Page </w:t>
    </w:r>
    <w:r>
      <w:rPr>
        <w:rFonts w:ascii="Cambria" w:hAnsi="Cambria" w:eastAsia="Cambria" w:cs="Cambria"/>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ayout w:type="fixed"/>
      <w:tblLook w:firstColumn="1" w:firstRow="1" w:lastColumn="0" w:lastRow="0" w:noHBand="0" w:noVBand="1" w:val="04A0"/>
      <w:tblBorders>
        <w:top w:val="single" w:sz="3" w:space="0" w:color="D9E1E8"/>
        <w:left w:val="single" w:sz="3" w:space="0" w:color="D9E1E8"/>
        <w:bottom w:val="single" w:sz="3" w:space="0" w:color="D9E1E8"/>
        <w:right w:val="single" w:sz="3" w:space="0" w:color="D9E1E8"/>
        <w:insideH w:val="single" w:sz="3" w:space="0" w:color="D9E1E8"/>
        <w:insideV w:val="single" w:sz="3" w:space="0" w:color="D9E1E8"/>
      </w:tblBorders>
    </w:tblPr>
    <w:tblGrid>
      <w:gridCol w:w="1984"/>
      <w:gridCol w:w="4819"/>
      <w:gridCol w:w="2551"/>
    </w:tblGrid>
    <w:tr>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ORGANIZATION LOGO</w:t>
          </w:r>
        </w:p>
      </w:tc>
      <w:tc>
        <w:tcPr>
          <w:tcW w:type="dxa" w:w="3118"/>
          <w:tcMar>
            <w:top w:w="50" w:type="dxa"/>
            <w:left w:w="70" w:type="dxa"/>
            <w:bottom w:w="50" w:type="dxa"/>
            <w:right w:w="70" w:type="dxa"/>
          </w:tcMar>
          <w:vAlign w:val="center"/>
        </w:tcPr>
        <w:p>
          <w:pPr>
            <w:spacing w:before="0" w:after="0" w:line="240" w:lineRule="auto"/>
            <w:jc w:val="center"/>
          </w:pPr>
          <w:r>
            <w:rPr>
              <w:rFonts w:ascii="Cambria" w:hAnsi="Cambria" w:eastAsia="Cambria" w:cs="Cambria"/>
              <w:b/>
              <w:i w:val="0"/>
              <w:color w:val="1F4E79"/>
              <w:sz w:val="17"/>
            </w:rPr>
            <w:t>[ORGANIZATION NAME]</w:t>
            <w:br/>
            <w:t>Energy Policy, Objectives &amp; Indicators Guidance</w:t>
          </w:r>
        </w:p>
      </w:tc>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EnMS-GUI-002</w:t>
            <w:br/>
            <w:t>Version 1.0</w:t>
            <w:br/>
            <w:t>Effective: 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Policy, Objectives &amp; Indicators Guidance</dc:title>
  <dc:subject>Practical guidance for developing an ISO 50001 energy policy, objectives, targets and energy performance indicators.</dc:subject>
  <dc:creator>ISO Toolkits</dc:creator>
  <cp:keywords>ISO 50001, energy policy, energy objectives, targets, EnPI, energy baseline</cp:keywords>
  <dc:description>ISO 50001 toolkit document. Website: www.iso-toolkits.org; Email: info@iso-toolkits.org</dc:description>
  <cp:lastModifiedBy>ISO Toolkits</cp:lastModifiedBy>
  <cp:revision>1</cp:revision>
  <dcterms:created xsi:type="dcterms:W3CDTF">2013-12-23T23:15:00Z</dcterms:created>
  <dcterms:modified xsi:type="dcterms:W3CDTF">2013-12-23T23:15:00Z</dcterms:modified>
  <cp:category>ISO 50001 Energy Management System</cp:category>
</cp:coreProperties>
</file>