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Cambria" w:hAnsi="Cambria" w:eastAsia="Cambria"/>
          <w:b/>
          <w:i w:val="0"/>
          <w:color w:val="1F4E79"/>
          <w:sz w:val="44"/>
        </w:rPr>
        <w:t>Energy Management System Guidance</w:t>
      </w:r>
    </w:p>
    <w:p>
      <w:pPr>
        <w:jc w:val="center"/>
      </w:pPr>
      <w:r>
        <w:rPr>
          <w:rFonts w:ascii="Cambria" w:hAnsi="Cambria" w:eastAsia="Cambria"/>
          <w:b/>
          <w:i w:val="0"/>
          <w:color w:val="7F7F7F"/>
          <w:sz w:val="22"/>
        </w:rPr>
        <w:t>ISO 50001 ENERGY MANAGEMENT SYSTEM TOOLKIT</w:t>
      </w:r>
    </w:p>
    <w:p/>
    <w:tbl>
      <w:tblPr>
        <w:tblW w:type="auto" w:w="0"/>
        <w:jc w:val="center"/>
        <w:tblLayout w:type="fixed"/>
        <w:tblLook w:val="04A0"/>
      </w:tblPr>
      <w:tblGrid>
        <w:gridCol w:w="2339"/>
        <w:gridCol w:w="2339"/>
        <w:gridCol w:w="2339"/>
        <w:gridCol w:w="2339"/>
      </w:tblGrid>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Document Code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EnMS-MAN-004</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Document Type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Guidance</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Applicable Standard</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ISO 50001:2018 + Amendment 1:2024</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Version</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1.0</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Effective Date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2026-09-19</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Next Review Date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2027-09-19</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Document Owner</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[DOCUMENT OWNER]</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Approver</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[APPROVER]</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Classification</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INTERNAL</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Review Cycle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Annual / Upon Significant Change</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Organization</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[ORGANIZATION NAME]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Status</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Controlled Template</w:t>
            </w:r>
          </w:p>
        </w:tc>
      </w:tr>
    </w:tbl>
    <w:p/>
    <w:p>
      <w:pPr>
        <w:jc w:val="center"/>
      </w:pPr>
      <w:r>
        <w:rPr>
          <w:rFonts w:ascii="Cambria" w:hAnsi="Cambria" w:eastAsia="Cambria"/>
          <w:b w:val="0"/>
          <w:i w:val="0"/>
          <w:color w:val="7F7F7F"/>
          <w:sz w:val="18"/>
        </w:rPr>
        <w:t>Website: www.iso-toolkits.org | Email: info@iso-toolkits.org</w:t>
      </w:r>
    </w:p>
    <w:p>
      <w:r>
        <w:br w:type="page"/>
      </w:r>
    </w:p>
    <w:p>
      <w:pPr>
        <w:pStyle w:val="Heading1"/>
      </w:pPr>
      <w:r>
        <w:t>1. Purpose and Use</w:t>
      </w:r>
    </w:p>
    <w:p>
      <w:r>
        <w:rPr>
          <w:rFonts w:ascii="Cambria" w:hAnsi="Cambria" w:eastAsia="Cambria"/>
          <w:b w:val="0"/>
          <w:i w:val="0"/>
          <w:color w:val="000000"/>
          <w:sz w:val="21"/>
        </w:rPr>
        <w:t>This document provides a practical operating model for establishing, implementing, maintaining and improving an Energy Management System based on ISO 50001. It is designed to help organizations convert management-system requirements into governance, data, operational controls and improvement routines that can be used in day-to-day business.</w:t>
      </w:r>
    </w:p>
    <w:p>
      <w:pPr>
        <w:spacing w:before="80" w:after="120"/>
        <w:shd w:fill="FFF2CC"/>
      </w:pPr>
      <w:r>
        <w:rPr>
          <w:rFonts w:ascii="Cambria" w:hAnsi="Cambria" w:eastAsia="Cambria"/>
          <w:b/>
          <w:i/>
          <w:color w:val="C00000"/>
          <w:sz w:val="19"/>
        </w:rPr>
        <w:t xml:space="preserve">[Note] </w:t>
      </w:r>
      <w:r>
        <w:rPr>
          <w:rFonts w:ascii="Cambria" w:hAnsi="Cambria" w:eastAsia="Cambria"/>
          <w:b w:val="0"/>
          <w:i/>
          <w:color w:val="C00000"/>
          <w:sz w:val="19"/>
        </w:rPr>
        <w:t>The EnMS should be integrated with normal business planning, maintenance, engineering, procurement and performance management. Avoid building a parallel "ISO system" that is separate from how energy-related decisions are actually made.</w:t>
      </w:r>
    </w:p>
    <w:p>
      <w:pPr>
        <w:pStyle w:val="Heading1"/>
      </w:pPr>
      <w:r>
        <w:t>2. EnMS Operating Model</w:t>
      </w:r>
    </w:p>
    <w:tbl>
      <w:tblPr>
        <w:tblW w:type="auto" w:w="0"/>
        <w:jc w:val="center"/>
        <w:tblLayout w:type="fixed"/>
        <w:tblLook w:val="04A0"/>
      </w:tblPr>
      <w:tblGrid>
        <w:gridCol w:w="3118"/>
        <w:gridCol w:w="3118"/>
        <w:gridCol w:w="3118"/>
      </w:tblGrid>
      <w:tr>
        <w:trPr>
          <w:tblHeader w:val="true"/>
        </w:trPr>
        <w:tc>
          <w:tcPr>
            <w:tcW w:type="dxa" w:w="1928"/>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Management layer</w:t>
            </w:r>
          </w:p>
        </w:tc>
        <w:tc>
          <w:tcPr>
            <w:tcW w:type="dxa" w:w="4422"/>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Key questions</w:t>
            </w:r>
          </w:p>
        </w:tc>
        <w:tc>
          <w:tcPr>
            <w:tcW w:type="dxa" w:w="3175"/>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Typical outputs</w:t>
            </w:r>
          </w:p>
        </w:tc>
      </w:tr>
      <w:tr>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Direction</w:t>
            </w:r>
          </w:p>
        </w:tc>
        <w:tc>
          <w:tcPr>
            <w:tcW w:type="dxa" w:w="442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Why is energy management important to the organization and what outcomes are expected?</w:t>
            </w:r>
          </w:p>
        </w:tc>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Scope, policy, leadership commitments, roles, strategic priorities.</w:t>
            </w:r>
          </w:p>
        </w:tc>
      </w:tr>
      <w:tr>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Planning</w:t>
            </w:r>
          </w:p>
        </w:tc>
        <w:tc>
          <w:tcPr>
            <w:tcW w:type="dxa" w:w="442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Where is energy used, what is significant, what drives performance and where can we improve?</w:t>
            </w:r>
          </w:p>
        </w:tc>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Energy review, SEUs, variables, EnPIs, EnBs, objectives, action plans.</w:t>
            </w:r>
          </w:p>
        </w:tc>
      </w:tr>
      <w:tr>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Execution</w:t>
            </w:r>
          </w:p>
        </w:tc>
        <w:tc>
          <w:tcPr>
            <w:tcW w:type="dxa" w:w="442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How do we operate, maintain, design and procure in a way that protects and improves energy performance?</w:t>
            </w:r>
          </w:p>
        </w:tc>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Operational criteria, maintenance controls, design/procurement decisions, competence.</w:t>
            </w:r>
          </w:p>
        </w:tc>
      </w:tr>
      <w:tr>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Evaluation</w:t>
            </w:r>
          </w:p>
        </w:tc>
        <w:tc>
          <w:tcPr>
            <w:tcW w:type="dxa" w:w="442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How do we know whether controls work and energy performance is improving?</w:t>
            </w:r>
          </w:p>
        </w:tc>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Monitoring, analysis, audit, management review, verified performance results.</w:t>
            </w:r>
          </w:p>
        </w:tc>
      </w:tr>
      <w:tr>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Improvement</w:t>
            </w:r>
          </w:p>
        </w:tc>
        <w:tc>
          <w:tcPr>
            <w:tcW w:type="dxa" w:w="442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What must change and how do we verify that the change was effective?</w:t>
            </w:r>
          </w:p>
        </w:tc>
        <w:tc>
          <w:tcPr>
            <w:tcW w:type="dxa" w:w="317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Corrective actions, improvement projects, updated controls, verified benefits.</w:t>
            </w:r>
          </w:p>
        </w:tc>
      </w:tr>
    </w:tbl>
    <w:p>
      <w:pPr>
        <w:pStyle w:val="Heading1"/>
      </w:pPr>
      <w:r>
        <w:t>3. Establish the Foundation</w:t>
      </w:r>
    </w:p>
    <w:p>
      <w:pPr>
        <w:pStyle w:val="Heading2"/>
      </w:pPr>
      <w:r>
        <w:t>3.1 Context, Interested Parties and Scope</w:t>
      </w:r>
    </w:p>
    <w:p>
      <w:pPr>
        <w:pStyle w:val="ListBullet"/>
        <w:spacing w:after="40"/>
      </w:pPr>
      <w:r>
        <w:rPr>
          <w:rFonts w:ascii="Cambria" w:hAnsi="Cambria" w:eastAsia="Cambria"/>
          <w:b w:val="0"/>
          <w:i w:val="0"/>
          <w:color w:val="000000"/>
          <w:sz w:val="21"/>
        </w:rPr>
        <w:t>Identify internal and external issues that can affect the intended outcomes of the EnMS, including relevant climate-related issues.</w:t>
      </w:r>
    </w:p>
    <w:p>
      <w:pPr>
        <w:pStyle w:val="ListBullet"/>
        <w:spacing w:after="40"/>
      </w:pPr>
      <w:r>
        <w:rPr>
          <w:rFonts w:ascii="Cambria" w:hAnsi="Cambria" w:eastAsia="Cambria"/>
          <w:b w:val="0"/>
          <w:i w:val="0"/>
          <w:color w:val="000000"/>
          <w:sz w:val="21"/>
        </w:rPr>
        <w:t>Identify interested parties whose requirements can materially affect energy management, compliance, customer commitments or energy performance.</w:t>
      </w:r>
    </w:p>
    <w:p>
      <w:pPr>
        <w:pStyle w:val="ListBullet"/>
        <w:spacing w:after="40"/>
      </w:pPr>
      <w:r>
        <w:rPr>
          <w:rFonts w:ascii="Cambria" w:hAnsi="Cambria" w:eastAsia="Cambria"/>
          <w:b w:val="0"/>
          <w:i w:val="0"/>
          <w:color w:val="000000"/>
          <w:sz w:val="21"/>
        </w:rPr>
        <w:t>Define the EnMS scope and boundaries so it is clear which sites, functions, facilities, equipment and activities are included.</w:t>
      </w:r>
    </w:p>
    <w:p>
      <w:pPr>
        <w:pStyle w:val="ListBullet"/>
        <w:spacing w:after="40"/>
      </w:pPr>
      <w:r>
        <w:rPr>
          <w:rFonts w:ascii="Cambria" w:hAnsi="Cambria" w:eastAsia="Cambria"/>
          <w:b w:val="0"/>
          <w:i w:val="0"/>
          <w:color w:val="000000"/>
          <w:sz w:val="21"/>
        </w:rPr>
        <w:t>Document interfaces for shared utilities, leased areas, outsourced services or systems that influence energy use but are not fully controlled.</w:t>
      </w:r>
    </w:p>
    <w:p>
      <w:pPr>
        <w:pStyle w:val="Heading2"/>
      </w:pPr>
      <w:r>
        <w:t>3.2 Leadership and Governance</w:t>
      </w:r>
    </w:p>
    <w:tbl>
      <w:tblPr>
        <w:tblW w:type="auto" w:w="0"/>
        <w:jc w:val="center"/>
        <w:tblLayout w:type="fixed"/>
        <w:tblLook w:val="04A0"/>
      </w:tblPr>
      <w:tblGrid>
        <w:gridCol w:w="4677"/>
        <w:gridCol w:w="4677"/>
      </w:tblGrid>
      <w:tr>
        <w:trPr>
          <w:tblHeader w:val="true"/>
        </w:trPr>
        <w:tc>
          <w:tcPr>
            <w:tcW w:type="dxa" w:w="255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Governance need</w:t>
            </w:r>
          </w:p>
        </w:tc>
        <w:tc>
          <w:tcPr>
            <w:tcW w:type="dxa" w:w="6973"/>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Practical implementation</w:t>
            </w:r>
          </w:p>
        </w:tc>
      </w:tr>
      <w:tr>
        <w:tc>
          <w:tcPr>
            <w:tcW w:type="dxa" w:w="255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Accountability</w:t>
            </w:r>
          </w:p>
        </w:tc>
        <w:tc>
          <w:tcPr>
            <w:tcW w:type="dxa" w:w="697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Top management should sponsor the EnMS, review performance and make resource decisions rather than delegate all responsibility to the Energy Manager.</w:t>
            </w:r>
          </w:p>
        </w:tc>
      </w:tr>
      <w:tr>
        <w:tc>
          <w:tcPr>
            <w:tcW w:type="dxa" w:w="255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Energy policy</w:t>
            </w:r>
          </w:p>
        </w:tc>
        <w:tc>
          <w:tcPr>
            <w:tcW w:type="dxa" w:w="697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Keep the policy concise and relevant to the organization; connect it to measurable objectives and operating decisions.</w:t>
            </w:r>
          </w:p>
        </w:tc>
      </w:tr>
      <w:tr>
        <w:tc>
          <w:tcPr>
            <w:tcW w:type="dxa" w:w="255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Roles</w:t>
            </w:r>
          </w:p>
        </w:tc>
        <w:tc>
          <w:tcPr>
            <w:tcW w:type="dxa" w:w="697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Assign owners for energy review, SEUs, EnPIs, baselines, energy data, operational controls, audit and improvement actions.</w:t>
            </w:r>
          </w:p>
        </w:tc>
      </w:tr>
      <w:tr>
        <w:tc>
          <w:tcPr>
            <w:tcW w:type="dxa" w:w="255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Governance cadence</w:t>
            </w:r>
          </w:p>
        </w:tc>
        <w:tc>
          <w:tcPr>
            <w:tcW w:type="dxa" w:w="697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Use existing executive, operational and capital-planning forums where they can effectively govern EnMS decisions.</w:t>
            </w:r>
          </w:p>
        </w:tc>
      </w:tr>
    </w:tbl>
    <w:p>
      <w:pPr>
        <w:pStyle w:val="Heading1"/>
      </w:pPr>
      <w:r>
        <w:t>4. Build the Energy-Performance Framework</w:t>
      </w:r>
    </w:p>
    <w:p>
      <w:pPr>
        <w:pStyle w:val="Heading2"/>
      </w:pPr>
      <w:r>
        <w:t>4.1 Energy Review</w:t>
      </w:r>
    </w:p>
    <w:p>
      <w:r>
        <w:rPr>
          <w:rFonts w:ascii="Cambria" w:hAnsi="Cambria" w:eastAsia="Cambria"/>
          <w:b w:val="0"/>
          <w:i w:val="0"/>
          <w:color w:val="000000"/>
          <w:sz w:val="21"/>
        </w:rPr>
        <w:t>The energy review should turn energy data into priorities. Begin with reliable energy-source and consumption data, understand where energy is used, identify significant energy uses, evaluate performance and identify improvement opportunities. Update the review when significant changes make previous conclusions unreliable.</w:t>
      </w:r>
    </w:p>
    <w:p>
      <w:pPr>
        <w:pStyle w:val="Heading2"/>
      </w:pPr>
      <w:r>
        <w:t>4.2 Significant Energy Uses</w:t>
      </w:r>
    </w:p>
    <w:tbl>
      <w:tblPr>
        <w:tblW w:type="auto" w:w="0"/>
        <w:jc w:val="center"/>
        <w:tblLayout w:type="fixed"/>
        <w:tblLook w:val="04A0"/>
      </w:tblPr>
      <w:tblGrid>
        <w:gridCol w:w="4677"/>
        <w:gridCol w:w="4677"/>
      </w:tblGrid>
      <w:tr>
        <w:trPr>
          <w:tblHeader w:val="true"/>
        </w:trPr>
        <w:tc>
          <w:tcPr>
            <w:tcW w:type="dxa" w:w="2608"/>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Decision element</w:t>
            </w:r>
          </w:p>
        </w:tc>
        <w:tc>
          <w:tcPr>
            <w:tcW w:type="dxa" w:w="6917"/>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Recommended approach</w:t>
            </w:r>
          </w:p>
        </w:tc>
      </w:tr>
      <w:tr>
        <w:tc>
          <w:tcPr>
            <w:tcW w:type="dxa" w:w="260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Significance criteria</w:t>
            </w:r>
          </w:p>
        </w:tc>
        <w:tc>
          <w:tcPr>
            <w:tcW w:type="dxa" w:w="691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Define transparent criteria appropriate to the organization, such as consumption contribution, improvement potential, criticality or strategic importance.</w:t>
            </w:r>
          </w:p>
        </w:tc>
      </w:tr>
      <w:tr>
        <w:tc>
          <w:tcPr>
            <w:tcW w:type="dxa" w:w="260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Owner</w:t>
            </w:r>
          </w:p>
        </w:tc>
        <w:tc>
          <w:tcPr>
            <w:tcW w:type="dxa" w:w="691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Assign an operational owner who can influence how the SEU is operated or maintained.</w:t>
            </w:r>
          </w:p>
        </w:tc>
      </w:tr>
      <w:tr>
        <w:tc>
          <w:tcPr>
            <w:tcW w:type="dxa" w:w="260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Relevant variables</w:t>
            </w:r>
          </w:p>
        </w:tc>
        <w:tc>
          <w:tcPr>
            <w:tcW w:type="dxa" w:w="691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Identify measurable drivers that materially affect energy consumption or performance.</w:t>
            </w:r>
          </w:p>
        </w:tc>
      </w:tr>
      <w:tr>
        <w:tc>
          <w:tcPr>
            <w:tcW w:type="dxa" w:w="260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People affecting performance</w:t>
            </w:r>
          </w:p>
        </w:tc>
        <w:tc>
          <w:tcPr>
            <w:tcW w:type="dxa" w:w="691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Identify roles whose actions can significantly change the SEU result.</w:t>
            </w:r>
          </w:p>
        </w:tc>
      </w:tr>
      <w:tr>
        <w:tc>
          <w:tcPr>
            <w:tcW w:type="dxa" w:w="260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Controls</w:t>
            </w:r>
          </w:p>
        </w:tc>
        <w:tc>
          <w:tcPr>
            <w:tcW w:type="dxa" w:w="6917"/>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Translate analysis into operating, maintenance, competence and monitoring controls.</w:t>
            </w:r>
          </w:p>
        </w:tc>
      </w:tr>
    </w:tbl>
    <w:p>
      <w:pPr>
        <w:pStyle w:val="Heading2"/>
      </w:pPr>
      <w:r>
        <w:t>4.3 Energy Performance Indicators</w:t>
      </w:r>
    </w:p>
    <w:p>
      <w:pPr>
        <w:pStyle w:val="ListBullet"/>
        <w:spacing w:after="40"/>
      </w:pPr>
      <w:r>
        <w:rPr>
          <w:rFonts w:ascii="Cambria" w:hAnsi="Cambria" w:eastAsia="Cambria"/>
          <w:b w:val="0"/>
          <w:i w:val="0"/>
          <w:color w:val="000000"/>
          <w:sz w:val="21"/>
        </w:rPr>
        <w:t>Choose EnPIs that respond to real changes in energy performance, not just activity volume.</w:t>
      </w:r>
    </w:p>
    <w:p>
      <w:pPr>
        <w:pStyle w:val="ListBullet"/>
        <w:spacing w:after="40"/>
      </w:pPr>
      <w:r>
        <w:rPr>
          <w:rFonts w:ascii="Cambria" w:hAnsi="Cambria" w:eastAsia="Cambria"/>
          <w:b w:val="0"/>
          <w:i w:val="0"/>
          <w:color w:val="000000"/>
          <w:sz w:val="21"/>
        </w:rPr>
        <w:t>Document the calculation method, units, data sources, reporting frequency and owner.</w:t>
      </w:r>
    </w:p>
    <w:p>
      <w:pPr>
        <w:pStyle w:val="ListBullet"/>
        <w:spacing w:after="40"/>
      </w:pPr>
      <w:r>
        <w:rPr>
          <w:rFonts w:ascii="Cambria" w:hAnsi="Cambria" w:eastAsia="Cambria"/>
          <w:b w:val="0"/>
          <w:i w:val="0"/>
          <w:color w:val="000000"/>
          <w:sz w:val="21"/>
        </w:rPr>
        <w:t>Use normalization or models when relevant variables have a material effect and simple absolute consumption would be misleading.</w:t>
      </w:r>
    </w:p>
    <w:p>
      <w:pPr>
        <w:pStyle w:val="ListBullet"/>
        <w:spacing w:after="40"/>
      </w:pPr>
      <w:r>
        <w:rPr>
          <w:rFonts w:ascii="Cambria" w:hAnsi="Cambria" w:eastAsia="Cambria"/>
          <w:b w:val="0"/>
          <w:i w:val="0"/>
          <w:color w:val="000000"/>
          <w:sz w:val="21"/>
        </w:rPr>
        <w:t>Keep the method stable long enough for useful comparison; control and justify changes to the indicator.</w:t>
      </w:r>
    </w:p>
    <w:p>
      <w:pPr>
        <w:pStyle w:val="Heading2"/>
      </w:pPr>
      <w:r>
        <w:t>4.4 Energy Baselines</w:t>
      </w:r>
    </w:p>
    <w:p>
      <w:pPr>
        <w:pStyle w:val="ListBullet"/>
        <w:spacing w:after="40"/>
      </w:pPr>
      <w:r>
        <w:rPr>
          <w:rFonts w:ascii="Cambria" w:hAnsi="Cambria" w:eastAsia="Cambria"/>
          <w:b w:val="0"/>
          <w:i w:val="0"/>
          <w:color w:val="000000"/>
          <w:sz w:val="21"/>
        </w:rPr>
        <w:t>Select a representative baseline period and preserve the data used to establish it.</w:t>
      </w:r>
    </w:p>
    <w:p>
      <w:pPr>
        <w:pStyle w:val="ListBullet"/>
        <w:spacing w:after="40"/>
      </w:pPr>
      <w:r>
        <w:rPr>
          <w:rFonts w:ascii="Cambria" w:hAnsi="Cambria" w:eastAsia="Cambria"/>
          <w:b w:val="0"/>
          <w:i w:val="0"/>
          <w:color w:val="000000"/>
          <w:sz w:val="21"/>
        </w:rPr>
        <w:t>Define circumstances that require review, adjustment or re-establishment, such as major static-factor or boundary change.</w:t>
      </w:r>
    </w:p>
    <w:p>
      <w:pPr>
        <w:pStyle w:val="ListBullet"/>
        <w:spacing w:after="40"/>
      </w:pPr>
      <w:r>
        <w:rPr>
          <w:rFonts w:ascii="Cambria" w:hAnsi="Cambria" w:eastAsia="Cambria"/>
          <w:b w:val="0"/>
          <w:i w:val="0"/>
          <w:color w:val="000000"/>
          <w:sz w:val="21"/>
        </w:rPr>
        <w:t>Keep baseline changes traceable so performance improvement is not created by changing the reference without justification.</w:t>
      </w:r>
    </w:p>
    <w:p>
      <w:pPr>
        <w:pStyle w:val="ListBullet"/>
        <w:spacing w:after="40"/>
      </w:pPr>
      <w:r>
        <w:rPr>
          <w:rFonts w:ascii="Cambria" w:hAnsi="Cambria" w:eastAsia="Cambria"/>
          <w:b w:val="0"/>
          <w:i w:val="0"/>
          <w:color w:val="000000"/>
          <w:sz w:val="21"/>
        </w:rPr>
        <w:t>Align the baseline with the EnPI method used to evaluate performance.</w:t>
      </w:r>
    </w:p>
    <w:p>
      <w:pPr>
        <w:pStyle w:val="Heading1"/>
      </w:pPr>
      <w:r>
        <w:t>5. Objectives, Targets and Action Plans</w:t>
      </w:r>
    </w:p>
    <w:tbl>
      <w:tblPr>
        <w:tblW w:type="auto" w:w="0"/>
        <w:jc w:val="center"/>
        <w:tblLayout w:type="fixed"/>
        <w:tblLook w:val="04A0"/>
      </w:tblPr>
      <w:tblGrid>
        <w:gridCol w:w="4677"/>
        <w:gridCol w:w="4677"/>
      </w:tblGrid>
      <w:tr>
        <w:trPr>
          <w:tblHeader w:val="true"/>
        </w:trPr>
        <w:tc>
          <w:tcPr>
            <w:tcW w:type="dxa" w:w="238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Field</w:t>
            </w:r>
          </w:p>
        </w:tc>
        <w:tc>
          <w:tcPr>
            <w:tcW w:type="dxa" w:w="7143"/>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What good looks like</w:t>
            </w:r>
          </w:p>
        </w:tc>
      </w:tr>
      <w:tr>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Objective</w:t>
            </w:r>
          </w:p>
        </w:tc>
        <w:tc>
          <w:tcPr>
            <w:tcW w:type="dxa" w:w="714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Clear energy-performance outcome linked to policy and review findings.</w:t>
            </w:r>
          </w:p>
        </w:tc>
      </w:tr>
      <w:tr>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Target</w:t>
            </w:r>
          </w:p>
        </w:tc>
        <w:tc>
          <w:tcPr>
            <w:tcW w:type="dxa" w:w="714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Measurable expected result and time horizon.</w:t>
            </w:r>
          </w:p>
        </w:tc>
      </w:tr>
      <w:tr>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Owner</w:t>
            </w:r>
          </w:p>
        </w:tc>
        <w:tc>
          <w:tcPr>
            <w:tcW w:type="dxa" w:w="714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Role with authority to influence delivery.</w:t>
            </w:r>
          </w:p>
        </w:tc>
      </w:tr>
      <w:tr>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Action</w:t>
            </w:r>
          </w:p>
        </w:tc>
        <w:tc>
          <w:tcPr>
            <w:tcW w:type="dxa" w:w="714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Specific technical, operational, behavioral or management-system activity.</w:t>
            </w:r>
          </w:p>
        </w:tc>
      </w:tr>
      <w:tr>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Resources</w:t>
            </w:r>
          </w:p>
        </w:tc>
        <w:tc>
          <w:tcPr>
            <w:tcW w:type="dxa" w:w="714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Budget, people, competence, equipment or data needed.</w:t>
            </w:r>
          </w:p>
        </w:tc>
      </w:tr>
      <w:tr>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Verification</w:t>
            </w:r>
          </w:p>
        </w:tc>
        <w:tc>
          <w:tcPr>
            <w:tcW w:type="dxa" w:w="714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Defined method for confirming completion and energy-performance impact.</w:t>
            </w:r>
          </w:p>
        </w:tc>
      </w:tr>
    </w:tbl>
    <w:p>
      <w:pPr>
        <w:pStyle w:val="Heading1"/>
      </w:pPr>
      <w:r>
        <w:t>6. Support the EnMS</w:t>
      </w:r>
    </w:p>
    <w:p>
      <w:pPr>
        <w:pStyle w:val="Heading2"/>
      </w:pPr>
      <w:r>
        <w:t>6.1 Competence and Awareness</w:t>
      </w:r>
    </w:p>
    <w:p>
      <w:r>
        <w:rPr>
          <w:rFonts w:ascii="Cambria" w:hAnsi="Cambria" w:eastAsia="Cambria"/>
          <w:b w:val="0"/>
          <w:i w:val="0"/>
          <w:color w:val="000000"/>
          <w:sz w:val="21"/>
        </w:rPr>
        <w:t>Prioritize competence for roles that can significantly affect SEUs, metering, analysis, design, procurement, maintenance and audit. Awareness should explain the person's contribution to energy performance and the consequences of departing from established controls.</w:t>
      </w:r>
    </w:p>
    <w:p>
      <w:pPr>
        <w:pStyle w:val="Heading2"/>
      </w:pPr>
      <w:r>
        <w:t>6.2 Communication</w:t>
      </w:r>
    </w:p>
    <w:p>
      <w:r>
        <w:rPr>
          <w:rFonts w:ascii="Cambria" w:hAnsi="Cambria" w:eastAsia="Cambria"/>
          <w:b w:val="0"/>
          <w:i w:val="0"/>
          <w:color w:val="000000"/>
          <w:sz w:val="21"/>
        </w:rPr>
        <w:t>Define what will be communicated, when, to whom, by whom and by what method. Use communication to support operating discipline, decision-making and engagement rather than producing generic awareness material.</w:t>
      </w:r>
    </w:p>
    <w:p>
      <w:pPr>
        <w:pStyle w:val="Heading2"/>
      </w:pPr>
      <w:r>
        <w:t>6.3 Documented Information</w:t>
      </w:r>
    </w:p>
    <w:p>
      <w:r>
        <w:rPr>
          <w:rFonts w:ascii="Cambria" w:hAnsi="Cambria" w:eastAsia="Cambria"/>
          <w:b w:val="0"/>
          <w:i w:val="0"/>
          <w:color w:val="000000"/>
          <w:sz w:val="21"/>
        </w:rPr>
        <w:t>Control the information necessary to operate the EnMS and retain evidence. Strong controls are particularly important for approved EnPI methods, energy baselines, SEU criteria, energy data, management decisions and audit/corrective-action records.</w:t>
      </w:r>
    </w:p>
    <w:p>
      <w:pPr>
        <w:pStyle w:val="Heading1"/>
      </w:pPr>
      <w:r>
        <w:t>7. Operate for Energy Performance</w:t>
      </w:r>
    </w:p>
    <w:p>
      <w:pPr>
        <w:pStyle w:val="Heading2"/>
      </w:pPr>
      <w:r>
        <w:t>7.1 Operational Planning and Control</w:t>
      </w:r>
    </w:p>
    <w:p>
      <w:pPr>
        <w:pStyle w:val="ListBullet"/>
        <w:spacing w:after="40"/>
      </w:pPr>
      <w:r>
        <w:rPr>
          <w:rFonts w:ascii="Cambria" w:hAnsi="Cambria" w:eastAsia="Cambria"/>
          <w:b w:val="0"/>
          <w:i w:val="0"/>
          <w:color w:val="000000"/>
          <w:sz w:val="21"/>
        </w:rPr>
        <w:t>Define operating criteria where variation can materially affect energy performance.</w:t>
      </w:r>
    </w:p>
    <w:p>
      <w:pPr>
        <w:pStyle w:val="ListBullet"/>
        <w:spacing w:after="40"/>
      </w:pPr>
      <w:r>
        <w:rPr>
          <w:rFonts w:ascii="Cambria" w:hAnsi="Cambria" w:eastAsia="Cambria"/>
          <w:b w:val="0"/>
          <w:i w:val="0"/>
          <w:color w:val="000000"/>
          <w:sz w:val="21"/>
        </w:rPr>
        <w:t>Make criteria available to operators and maintenance personnel in a usable form.</w:t>
      </w:r>
    </w:p>
    <w:p>
      <w:pPr>
        <w:pStyle w:val="ListBullet"/>
        <w:spacing w:after="40"/>
      </w:pPr>
      <w:r>
        <w:rPr>
          <w:rFonts w:ascii="Cambria" w:hAnsi="Cambria" w:eastAsia="Cambria"/>
          <w:b w:val="0"/>
          <w:i w:val="0"/>
          <w:color w:val="000000"/>
          <w:sz w:val="21"/>
        </w:rPr>
        <w:t>Monitor compliance with key operating parameters and respond to deviations.</w:t>
      </w:r>
    </w:p>
    <w:p>
      <w:pPr>
        <w:pStyle w:val="ListBullet"/>
        <w:spacing w:after="40"/>
      </w:pPr>
      <w:r>
        <w:rPr>
          <w:rFonts w:ascii="Cambria" w:hAnsi="Cambria" w:eastAsia="Cambria"/>
          <w:b w:val="0"/>
          <w:i w:val="0"/>
          <w:color w:val="000000"/>
          <w:sz w:val="21"/>
        </w:rPr>
        <w:t>Update controls after significant process, equipment, product or facility change.</w:t>
      </w:r>
    </w:p>
    <w:p>
      <w:pPr>
        <w:pStyle w:val="Heading2"/>
      </w:pPr>
      <w:r>
        <w:t>7.2 Maintenance</w:t>
      </w:r>
    </w:p>
    <w:p>
      <w:r>
        <w:rPr>
          <w:rFonts w:ascii="Cambria" w:hAnsi="Cambria" w:eastAsia="Cambria"/>
          <w:b w:val="0"/>
          <w:i w:val="0"/>
          <w:color w:val="000000"/>
          <w:sz w:val="21"/>
        </w:rPr>
        <w:t>Connect preventive and condition-based maintenance to SEU performance. Identify maintenance conditions that degrade energy performance, such as fouling, leaks, misalignment, control drift or sensor failure, and ensure records allow performance issues to be traced to maintenance actions.</w:t>
      </w:r>
    </w:p>
    <w:p>
      <w:pPr>
        <w:pStyle w:val="Heading2"/>
      </w:pPr>
      <w:r>
        <w:t>7.3 Design</w:t>
      </w:r>
    </w:p>
    <w:p>
      <w:r>
        <w:rPr>
          <w:rFonts w:ascii="Cambria" w:hAnsi="Cambria" w:eastAsia="Cambria"/>
          <w:b w:val="0"/>
          <w:i w:val="0"/>
          <w:color w:val="000000"/>
          <w:sz w:val="21"/>
        </w:rPr>
        <w:t>For new or modified facilities, equipment, systems and processes that can significantly affect energy performance, evaluate improvement opportunities early enough to influence design decisions. Keep evidence of the criteria used and the decision made.</w:t>
      </w:r>
    </w:p>
    <w:p>
      <w:pPr>
        <w:pStyle w:val="Heading2"/>
      </w:pPr>
      <w:r>
        <w:t>7.4 Procurement</w:t>
      </w:r>
    </w:p>
    <w:p>
      <w:r>
        <w:rPr>
          <w:rFonts w:ascii="Cambria" w:hAnsi="Cambria" w:eastAsia="Cambria"/>
          <w:b w:val="0"/>
          <w:i w:val="0"/>
          <w:color w:val="000000"/>
          <w:sz w:val="21"/>
        </w:rPr>
        <w:t>Include energy-performance considerations when purchasing relevant energy services, products and equipment. Where appropriate, use lifecycle energy performance rather than purchase price alone and communicate relevant specifications to suppliers.</w:t>
      </w:r>
    </w:p>
    <w:p>
      <w:pPr>
        <w:pStyle w:val="Heading1"/>
      </w:pPr>
      <w:r>
        <w:t>8. Monitor and Evaluate</w:t>
      </w:r>
    </w:p>
    <w:tbl>
      <w:tblPr>
        <w:tblW w:type="auto" w:w="0"/>
        <w:jc w:val="center"/>
        <w:tblLayout w:type="fixed"/>
        <w:tblLook w:val="04A0"/>
      </w:tblPr>
      <w:tblGrid>
        <w:gridCol w:w="4677"/>
        <w:gridCol w:w="4677"/>
      </w:tblGrid>
      <w:tr>
        <w:trPr>
          <w:tblHeader w:val="true"/>
        </w:trPr>
        <w:tc>
          <w:tcPr>
            <w:tcW w:type="dxa" w:w="272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Control area</w:t>
            </w:r>
          </w:p>
        </w:tc>
        <w:tc>
          <w:tcPr>
            <w:tcW w:type="dxa" w:w="6803"/>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Questions to answer</w:t>
            </w:r>
          </w:p>
        </w:tc>
      </w:tr>
      <w:tr>
        <w:tc>
          <w:tcPr>
            <w:tcW w:type="dxa" w:w="272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Energy data</w:t>
            </w:r>
          </w:p>
        </w:tc>
        <w:tc>
          <w:tcPr>
            <w:tcW w:type="dxa" w:w="680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Are data complete, timely, reliable and at sufficient granularity for decisions?</w:t>
            </w:r>
          </w:p>
        </w:tc>
      </w:tr>
      <w:tr>
        <w:tc>
          <w:tcPr>
            <w:tcW w:type="dxa" w:w="272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EnPIs and EnBs</w:t>
            </w:r>
          </w:p>
        </w:tc>
        <w:tc>
          <w:tcPr>
            <w:tcW w:type="dxa" w:w="680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 results show real energy-performance change and are assumptions still valid?</w:t>
            </w:r>
          </w:p>
        </w:tc>
      </w:tr>
      <w:tr>
        <w:tc>
          <w:tcPr>
            <w:tcW w:type="dxa" w:w="272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Objectives and action plans</w:t>
            </w:r>
          </w:p>
        </w:tc>
        <w:tc>
          <w:tcPr>
            <w:tcW w:type="dxa" w:w="680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Are actions delivering intended results and verified improvement?</w:t>
            </w:r>
          </w:p>
        </w:tc>
      </w:tr>
      <w:tr>
        <w:tc>
          <w:tcPr>
            <w:tcW w:type="dxa" w:w="272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SEUs</w:t>
            </w:r>
          </w:p>
        </w:tc>
        <w:tc>
          <w:tcPr>
            <w:tcW w:type="dxa" w:w="680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Are key variables, operating criteria and maintenance conditions under control?</w:t>
            </w:r>
          </w:p>
        </w:tc>
      </w:tr>
      <w:tr>
        <w:tc>
          <w:tcPr>
            <w:tcW w:type="dxa" w:w="272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Meters and instruments</w:t>
            </w:r>
          </w:p>
        </w:tc>
        <w:tc>
          <w:tcPr>
            <w:tcW w:type="dxa" w:w="680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Are measurement devices fit for purpose and verified/calibrated as appropriate?</w:t>
            </w:r>
          </w:p>
        </w:tc>
      </w:tr>
      <w:tr>
        <w:tc>
          <w:tcPr>
            <w:tcW w:type="dxa" w:w="272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Internal audit</w:t>
            </w:r>
          </w:p>
        </w:tc>
        <w:tc>
          <w:tcPr>
            <w:tcW w:type="dxa" w:w="680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Does the audit programme test both EnMS conformity and effective implementation?</w:t>
            </w:r>
          </w:p>
        </w:tc>
      </w:tr>
      <w:tr>
        <w:tc>
          <w:tcPr>
            <w:tcW w:type="dxa" w:w="272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Management review</w:t>
            </w:r>
          </w:p>
        </w:tc>
        <w:tc>
          <w:tcPr>
            <w:tcW w:type="dxa" w:w="6803"/>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Does top management receive decision-ready information and close strategic actions?</w:t>
            </w:r>
          </w:p>
        </w:tc>
      </w:tr>
    </w:tbl>
    <w:p>
      <w:pPr>
        <w:pStyle w:val="Heading1"/>
      </w:pPr>
      <w:r>
        <w:t>9. Nonconformity and Continual Improvement</w:t>
      </w:r>
    </w:p>
    <w:p>
      <w:pPr>
        <w:pStyle w:val="ListNumber"/>
        <w:spacing w:after="40"/>
      </w:pPr>
      <w:r>
        <w:rPr>
          <w:rFonts w:ascii="Cambria" w:hAnsi="Cambria" w:eastAsia="Cambria"/>
          <w:b w:val="0"/>
          <w:i w:val="0"/>
          <w:color w:val="000000"/>
          <w:sz w:val="21"/>
        </w:rPr>
        <w:t>Contain and correct the immediate issue where needed.</w:t>
      </w:r>
    </w:p>
    <w:p>
      <w:pPr>
        <w:pStyle w:val="ListNumber"/>
        <w:spacing w:after="40"/>
      </w:pPr>
      <w:r>
        <w:rPr>
          <w:rFonts w:ascii="Cambria" w:hAnsi="Cambria" w:eastAsia="Cambria"/>
          <w:b w:val="0"/>
          <w:i w:val="0"/>
          <w:color w:val="000000"/>
          <w:sz w:val="21"/>
        </w:rPr>
        <w:t>Evaluate why the issue occurred and whether similar conditions exist elsewhere.</w:t>
      </w:r>
    </w:p>
    <w:p>
      <w:pPr>
        <w:pStyle w:val="ListNumber"/>
        <w:spacing w:after="40"/>
      </w:pPr>
      <w:r>
        <w:rPr>
          <w:rFonts w:ascii="Cambria" w:hAnsi="Cambria" w:eastAsia="Cambria"/>
          <w:b w:val="0"/>
          <w:i w:val="0"/>
          <w:color w:val="000000"/>
          <w:sz w:val="21"/>
        </w:rPr>
        <w:t>Implement corrective action proportionate to the cause and impact.</w:t>
      </w:r>
    </w:p>
    <w:p>
      <w:pPr>
        <w:pStyle w:val="ListNumber"/>
        <w:spacing w:after="40"/>
      </w:pPr>
      <w:r>
        <w:rPr>
          <w:rFonts w:ascii="Cambria" w:hAnsi="Cambria" w:eastAsia="Cambria"/>
          <w:b w:val="0"/>
          <w:i w:val="0"/>
          <w:color w:val="000000"/>
          <w:sz w:val="21"/>
        </w:rPr>
        <w:t>Verify effectiveness using evidence rather than task completion alone.</w:t>
      </w:r>
    </w:p>
    <w:p>
      <w:pPr>
        <w:pStyle w:val="ListNumber"/>
        <w:spacing w:after="40"/>
      </w:pPr>
      <w:r>
        <w:rPr>
          <w:rFonts w:ascii="Cambria" w:hAnsi="Cambria" w:eastAsia="Cambria"/>
          <w:b w:val="0"/>
          <w:i w:val="0"/>
          <w:color w:val="000000"/>
          <w:sz w:val="21"/>
        </w:rPr>
        <w:t>Update risks, controls, documented information, training or methods when the lesson changes how the EnMS should operate.</w:t>
      </w:r>
    </w:p>
    <w:p>
      <w:pPr>
        <w:pStyle w:val="ListNumber"/>
        <w:spacing w:after="40"/>
      </w:pPr>
      <w:r>
        <w:rPr>
          <w:rFonts w:ascii="Cambria" w:hAnsi="Cambria" w:eastAsia="Cambria"/>
          <w:b w:val="0"/>
          <w:i w:val="0"/>
          <w:color w:val="000000"/>
          <w:sz w:val="21"/>
        </w:rPr>
        <w:t>Track verified energy-performance improvement separately from management-system corrective actions so both remain visible.</w:t>
      </w:r>
    </w:p>
    <w:p>
      <w:pPr>
        <w:pStyle w:val="Heading1"/>
      </w:pPr>
      <w:r>
        <w:t>10. Recommended EnMS Governance Cycle</w:t>
      </w:r>
    </w:p>
    <w:tbl>
      <w:tblPr>
        <w:tblW w:type="auto" w:w="0"/>
        <w:jc w:val="center"/>
        <w:tblLayout w:type="fixed"/>
        <w:tblLook w:val="04A0"/>
      </w:tblPr>
      <w:tblGrid>
        <w:gridCol w:w="4677"/>
        <w:gridCol w:w="4677"/>
      </w:tblGrid>
      <w:tr>
        <w:trPr>
          <w:tblHeader w:val="true"/>
        </w:trPr>
        <w:tc>
          <w:tcPr>
            <w:tcW w:type="dxa" w:w="2948"/>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Cadence / Trigger</w:t>
            </w:r>
          </w:p>
        </w:tc>
        <w:tc>
          <w:tcPr>
            <w:tcW w:type="dxa" w:w="6576"/>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Recommended governance activity</w:t>
            </w:r>
          </w:p>
        </w:tc>
      </w:tr>
      <w:tr>
        <w:tc>
          <w:tcPr>
            <w:tcW w:type="dxa" w:w="294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Monthly</w:t>
            </w:r>
          </w:p>
        </w:tc>
        <w:tc>
          <w:tcPr>
            <w:tcW w:type="dxa" w:w="6576"/>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Review key energy data, SEU exceptions, EnPI trends and urgent actions.</w:t>
            </w:r>
          </w:p>
        </w:tc>
      </w:tr>
      <w:tr>
        <w:tc>
          <w:tcPr>
            <w:tcW w:type="dxa" w:w="294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Quarterly</w:t>
            </w:r>
          </w:p>
        </w:tc>
        <w:tc>
          <w:tcPr>
            <w:tcW w:type="dxa" w:w="6576"/>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Review objectives, improvement projects, data quality, resource issues and significant changes.</w:t>
            </w:r>
          </w:p>
        </w:tc>
      </w:tr>
      <w:tr>
        <w:tc>
          <w:tcPr>
            <w:tcW w:type="dxa" w:w="294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At planned intervals</w:t>
            </w:r>
          </w:p>
        </w:tc>
        <w:tc>
          <w:tcPr>
            <w:tcW w:type="dxa" w:w="6576"/>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Update energy review, EnPIs and baselines as needed; complete internal audits and compliance-related checks.</w:t>
            </w:r>
          </w:p>
        </w:tc>
      </w:tr>
      <w:tr>
        <w:tc>
          <w:tcPr>
            <w:tcW w:type="dxa" w:w="294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At least as defined by governance needs</w:t>
            </w:r>
          </w:p>
        </w:tc>
        <w:tc>
          <w:tcPr>
            <w:tcW w:type="dxa" w:w="6576"/>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Conduct formal management review and approve strategic decisions and actions.</w:t>
            </w:r>
          </w:p>
        </w:tc>
      </w:tr>
      <w:tr>
        <w:tc>
          <w:tcPr>
            <w:tcW w:type="dxa" w:w="294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Upon significant change</w:t>
            </w:r>
          </w:p>
        </w:tc>
        <w:tc>
          <w:tcPr>
            <w:tcW w:type="dxa" w:w="6576"/>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Reassess affected SEUs, variables, EnPIs, EnBs, controls, competence and documentation.</w:t>
            </w:r>
          </w:p>
        </w:tc>
      </w:tr>
    </w:tbl>
    <w:p>
      <w:pPr>
        <w:pStyle w:val="Heading1"/>
      </w:pPr>
      <w:r>
        <w:t>11. Implementation Sequence</w:t>
      </w:r>
    </w:p>
    <w:tbl>
      <w:tblPr>
        <w:tblW w:type="auto" w:w="0"/>
        <w:jc w:val="center"/>
        <w:tblLayout w:type="fixed"/>
        <w:tblLook w:val="04A0"/>
      </w:tblPr>
      <w:tblGrid>
        <w:gridCol w:w="3118"/>
        <w:gridCol w:w="3118"/>
        <w:gridCol w:w="3118"/>
      </w:tblGrid>
      <w:tr>
        <w:trPr>
          <w:tblHeader w:val="true"/>
        </w:trPr>
        <w:tc>
          <w:tcPr>
            <w:tcW w:type="dxa" w:w="1020"/>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Stage</w:t>
            </w:r>
          </w:p>
        </w:tc>
        <w:tc>
          <w:tcPr>
            <w:tcW w:type="dxa" w:w="2154"/>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Focus</w:t>
            </w:r>
          </w:p>
        </w:tc>
        <w:tc>
          <w:tcPr>
            <w:tcW w:type="dxa" w:w="6350"/>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Key result</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1</w:t>
            </w:r>
          </w:p>
        </w:tc>
        <w:tc>
          <w:tcPr>
            <w:tcW w:type="dxa" w:w="21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Mobilize</w:t>
            </w:r>
          </w:p>
        </w:tc>
        <w:tc>
          <w:tcPr>
            <w:tcW w:type="dxa" w:w="635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Sponsor, Energy Manager, implementation team, scope hypothesis and project plan.</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2</w:t>
            </w:r>
          </w:p>
        </w:tc>
        <w:tc>
          <w:tcPr>
            <w:tcW w:type="dxa" w:w="21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Assess</w:t>
            </w:r>
          </w:p>
        </w:tc>
        <w:tc>
          <w:tcPr>
            <w:tcW w:type="dxa" w:w="635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Gap analysis, context, interested parties, current data and current controls.</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3</w:t>
            </w:r>
          </w:p>
        </w:tc>
        <w:tc>
          <w:tcPr>
            <w:tcW w:type="dxa" w:w="21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Analyze</w:t>
            </w:r>
          </w:p>
        </w:tc>
        <w:tc>
          <w:tcPr>
            <w:tcW w:type="dxa" w:w="635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Energy review, SEUs, relevant variables, EnPIs, energy baselines and opportunities.</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4</w:t>
            </w:r>
          </w:p>
        </w:tc>
        <w:tc>
          <w:tcPr>
            <w:tcW w:type="dxa" w:w="21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Plan</w:t>
            </w:r>
          </w:p>
        </w:tc>
        <w:tc>
          <w:tcPr>
            <w:tcW w:type="dxa" w:w="635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Policy, objectives, targets, action plans, data plan and responsibilities.</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5</w:t>
            </w:r>
          </w:p>
        </w:tc>
        <w:tc>
          <w:tcPr>
            <w:tcW w:type="dxa" w:w="21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Implement</w:t>
            </w:r>
          </w:p>
        </w:tc>
        <w:tc>
          <w:tcPr>
            <w:tcW w:type="dxa" w:w="635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Operational controls, competence, communication, document control, design and procurement controls.</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6</w:t>
            </w:r>
          </w:p>
        </w:tc>
        <w:tc>
          <w:tcPr>
            <w:tcW w:type="dxa" w:w="21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Measure</w:t>
            </w:r>
          </w:p>
        </w:tc>
        <w:tc>
          <w:tcPr>
            <w:tcW w:type="dxa" w:w="635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Monitoring, analysis, EnPI/baseline evaluation and benefit verification.</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7</w:t>
            </w:r>
          </w:p>
        </w:tc>
        <w:tc>
          <w:tcPr>
            <w:tcW w:type="dxa" w:w="21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Assure</w:t>
            </w:r>
          </w:p>
        </w:tc>
        <w:tc>
          <w:tcPr>
            <w:tcW w:type="dxa" w:w="635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Internal audit, corrective action and management review.</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8</w:t>
            </w:r>
          </w:p>
        </w:tc>
        <w:tc>
          <w:tcPr>
            <w:tcW w:type="dxa" w:w="215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Improve</w:t>
            </w:r>
          </w:p>
        </w:tc>
        <w:tc>
          <w:tcPr>
            <w:tcW w:type="dxa" w:w="635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Close gaps, scale successful actions, update controls and repeat the performance cycle.</w:t>
            </w:r>
          </w:p>
        </w:tc>
      </w:tr>
    </w:tbl>
    <w:p>
      <w:pPr>
        <w:pStyle w:val="Heading1"/>
      </w:pPr>
      <w:r>
        <w:t>12. Management System Integration</w:t>
      </w:r>
    </w:p>
    <w:p>
      <w:r>
        <w:rPr>
          <w:rFonts w:ascii="Cambria" w:hAnsi="Cambria" w:eastAsia="Cambria"/>
          <w:b w:val="0"/>
          <w:i w:val="0"/>
          <w:color w:val="000000"/>
          <w:sz w:val="21"/>
        </w:rPr>
        <w:t>Organizations with existing ISO 9001, ISO 14001, ISO 45001 or other management systems can often reuse common processes for documented information, competence, internal audit, corrective action and management review. Energy-specific controls should remain visible where they are necessary for energy review, SEUs, EnPIs, baselines, data planning, design/procurement or demonstration of energy-performance improvement.</w:t>
      </w:r>
    </w:p>
    <w:p>
      <w:pPr>
        <w:pStyle w:val="Heading1"/>
      </w:pPr>
      <w:r>
        <w:t>13. Practical Readiness Questions</w:t>
      </w:r>
    </w:p>
    <w:tbl>
      <w:tblPr>
        <w:tblW w:type="auto" w:w="0"/>
        <w:jc w:val="center"/>
        <w:tblLayout w:type="fixed"/>
        <w:tblLook w:val="04A0"/>
      </w:tblPr>
      <w:tblGrid>
        <w:gridCol w:w="4677"/>
        <w:gridCol w:w="4677"/>
      </w:tblGrid>
      <w:tr>
        <w:trPr>
          <w:tblHeader w:val="true"/>
        </w:trPr>
        <w:tc>
          <w:tcPr>
            <w:tcW w:type="dxa" w:w="1020"/>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Check</w:t>
            </w:r>
          </w:p>
        </w:tc>
        <w:tc>
          <w:tcPr>
            <w:tcW w:type="dxa" w:w="8504"/>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Readiness question</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c>
          <w:tcPr>
            <w:tcW w:type="dxa" w:w="850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Top management receives and acts on energy-performance information.</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c>
          <w:tcPr>
            <w:tcW w:type="dxa" w:w="850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The EnMS scope and boundaries match actual operations.</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c>
          <w:tcPr>
            <w:tcW w:type="dxa" w:w="850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The energy review uses reliable, representative data.</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c>
          <w:tcPr>
            <w:tcW w:type="dxa" w:w="850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SEUs are identified with repeatable criteria and have accountable owners.</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c>
          <w:tcPr>
            <w:tcW w:type="dxa" w:w="850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EnPIs and baselines support fair performance evaluation.</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c>
          <w:tcPr>
            <w:tcW w:type="dxa" w:w="850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Objectives and action plans define how results will be verified.</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c>
          <w:tcPr>
            <w:tcW w:type="dxa" w:w="850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Operational, maintenance, design and procurement controls are embedded in normal processes.</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c>
          <w:tcPr>
            <w:tcW w:type="dxa" w:w="850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Metering and data-quality issues are visible and actively managed.</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c>
          <w:tcPr>
            <w:tcW w:type="dxa" w:w="850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Internal audit tests implementation and not just the existence of documents.</w:t>
            </w:r>
          </w:p>
        </w:tc>
      </w:tr>
      <w:tr>
        <w:tc>
          <w:tcPr>
            <w:tcW w:type="dxa" w:w="102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 ]</w:t>
            </w:r>
          </w:p>
        </w:tc>
        <w:tc>
          <w:tcPr>
            <w:tcW w:type="dxa" w:w="850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Management review produces decisions, resources and accountable actions.</w:t>
            </w:r>
          </w:p>
        </w:tc>
      </w:tr>
    </w:tbl>
    <w:p>
      <w:pPr>
        <w:pStyle w:val="Heading1"/>
      </w:pPr>
      <w:r>
        <w:t>14. Related Toolkit Documents</w:t>
      </w:r>
    </w:p>
    <w:p>
      <w:pPr>
        <w:pStyle w:val="ListBullet"/>
        <w:spacing w:after="40"/>
      </w:pPr>
      <w:r>
        <w:rPr>
          <w:rFonts w:ascii="Cambria" w:hAnsi="Cambria" w:eastAsia="Cambria"/>
          <w:b w:val="0"/>
          <w:i w:val="0"/>
          <w:color w:val="000000"/>
          <w:sz w:val="21"/>
        </w:rPr>
        <w:t>EnMS Document Map</w:t>
      </w:r>
    </w:p>
    <w:p>
      <w:pPr>
        <w:pStyle w:val="ListBullet"/>
        <w:spacing w:after="40"/>
      </w:pPr>
      <w:r>
        <w:rPr>
          <w:rFonts w:ascii="Cambria" w:hAnsi="Cambria" w:eastAsia="Cambria"/>
          <w:b w:val="0"/>
          <w:i w:val="0"/>
          <w:color w:val="000000"/>
          <w:sz w:val="21"/>
        </w:rPr>
        <w:t>Energy Management Implementation Project Plan</w:t>
      </w:r>
    </w:p>
    <w:p>
      <w:pPr>
        <w:pStyle w:val="ListBullet"/>
        <w:spacing w:after="40"/>
      </w:pPr>
      <w:r>
        <w:rPr>
          <w:rFonts w:ascii="Cambria" w:hAnsi="Cambria" w:eastAsia="Cambria"/>
          <w:b w:val="0"/>
          <w:i w:val="0"/>
          <w:color w:val="000000"/>
          <w:sz w:val="21"/>
        </w:rPr>
        <w:t>Energy Management Gap Analysis</w:t>
      </w:r>
    </w:p>
    <w:p>
      <w:pPr>
        <w:pStyle w:val="ListBullet"/>
        <w:spacing w:after="40"/>
      </w:pPr>
      <w:r>
        <w:rPr>
          <w:rFonts w:ascii="Cambria" w:hAnsi="Cambria" w:eastAsia="Cambria"/>
          <w:b w:val="0"/>
          <w:i w:val="0"/>
          <w:color w:val="000000"/>
          <w:sz w:val="21"/>
        </w:rPr>
        <w:t>Energy Gap Analysis Action Plan</w:t>
      </w:r>
    </w:p>
    <w:p>
      <w:pPr>
        <w:pStyle w:val="ListBullet"/>
        <w:spacing w:after="40"/>
      </w:pPr>
      <w:r>
        <w:rPr>
          <w:rFonts w:ascii="Cambria" w:hAnsi="Cambria" w:eastAsia="Cambria"/>
          <w:b w:val="0"/>
          <w:i w:val="0"/>
          <w:color w:val="000000"/>
          <w:sz w:val="21"/>
        </w:rPr>
        <w:t>Documented Information Procedure</w:t>
      </w:r>
    </w:p>
    <w:p>
      <w:pPr>
        <w:pStyle w:val="ListBullet"/>
        <w:spacing w:after="40"/>
      </w:pPr>
      <w:r>
        <w:rPr>
          <w:rFonts w:ascii="Cambria" w:hAnsi="Cambria" w:eastAsia="Cambria"/>
          <w:b w:val="0"/>
          <w:i w:val="0"/>
          <w:color w:val="000000"/>
          <w:sz w:val="21"/>
        </w:rPr>
        <w:t>Energy Management Review Procedure</w:t>
      </w:r>
    </w:p>
    <w:p>
      <w:pPr>
        <w:pStyle w:val="ListBullet"/>
        <w:spacing w:after="40"/>
      </w:pPr>
      <w:r>
        <w:rPr>
          <w:rFonts w:ascii="Cambria" w:hAnsi="Cambria" w:eastAsia="Cambria"/>
          <w:b w:val="0"/>
          <w:i w:val="0"/>
          <w:color w:val="000000"/>
          <w:sz w:val="21"/>
        </w:rPr>
        <w:t>Internal Energy Audit Procedure</w:t>
      </w:r>
    </w:p>
    <w:p>
      <w:pPr>
        <w:pStyle w:val="ListBullet"/>
        <w:spacing w:after="40"/>
      </w:pPr>
      <w:r>
        <w:rPr>
          <w:rFonts w:ascii="Cambria" w:hAnsi="Cambria" w:eastAsia="Cambria"/>
          <w:b w:val="0"/>
          <w:i w:val="0"/>
          <w:color w:val="000000"/>
          <w:sz w:val="21"/>
        </w:rPr>
        <w:t>Energy Performance Indicator Charts</w:t>
      </w:r>
    </w:p>
    <w:p>
      <w:pPr>
        <w:pStyle w:val="ListBullet"/>
        <w:spacing w:after="40"/>
      </w:pPr>
      <w:r>
        <w:rPr>
          <w:rFonts w:ascii="Cambria" w:hAnsi="Cambria" w:eastAsia="Cambria"/>
          <w:b w:val="0"/>
          <w:i w:val="0"/>
          <w:color w:val="000000"/>
          <w:sz w:val="21"/>
        </w:rPr>
        <w:t>Energy Baseline Evaluation Checklist</w:t>
      </w:r>
    </w:p>
    <w:p>
      <w:pPr>
        <w:pStyle w:val="Heading1"/>
      </w:pPr>
      <w:r>
        <w:t>References</w:t>
      </w:r>
    </w:p>
    <w:p>
      <w:pPr>
        <w:spacing w:after="80"/>
      </w:pPr>
      <w:r>
        <w:rPr>
          <w:rFonts w:ascii="Cambria" w:hAnsi="Cambria" w:eastAsia="Cambria"/>
          <w:b/>
          <w:i w:val="0"/>
          <w:color w:val="000000"/>
          <w:sz w:val="19"/>
        </w:rPr>
        <w:t>ISO 50001:2018 - Energy management systems - Requirements with guidance for use</w:t>
      </w:r>
      <w:r>
        <w:rPr>
          <w:rFonts w:ascii="Cambria" w:hAnsi="Cambria" w:eastAsia="Cambria"/>
          <w:b w:val="0"/>
          <w:i w:val="0"/>
          <w:color w:val="7F7F7F"/>
          <w:sz w:val="18"/>
        </w:rPr>
        <w:br/>
        <w:t>https://www.iso.org/standard/69426.html</w:t>
      </w:r>
    </w:p>
    <w:p>
      <w:pPr>
        <w:spacing w:after="80"/>
      </w:pPr>
      <w:r>
        <w:rPr>
          <w:rFonts w:ascii="Cambria" w:hAnsi="Cambria" w:eastAsia="Cambria"/>
          <w:b/>
          <w:i w:val="0"/>
          <w:color w:val="000000"/>
          <w:sz w:val="19"/>
        </w:rPr>
        <w:t>ISO 50001:2018/Amd 1:2024 - Climate action changes</w:t>
      </w:r>
      <w:r>
        <w:rPr>
          <w:rFonts w:ascii="Cambria" w:hAnsi="Cambria" w:eastAsia="Cambria"/>
          <w:b w:val="0"/>
          <w:i w:val="0"/>
          <w:color w:val="7F7F7F"/>
          <w:sz w:val="18"/>
        </w:rPr>
        <w:br/>
        <w:t>https://www.iso.org/standard/88430.html</w:t>
      </w:r>
    </w:p>
    <w:p>
      <w:pPr>
        <w:spacing w:after="80"/>
      </w:pPr>
      <w:r>
        <w:rPr>
          <w:rFonts w:ascii="Cambria" w:hAnsi="Cambria" w:eastAsia="Cambria"/>
          <w:b/>
          <w:i w:val="0"/>
          <w:color w:val="000000"/>
          <w:sz w:val="19"/>
        </w:rPr>
        <w:t>ISO 50004:2020 - Guidance for implementation, maintenance and improvement of an ISO 50001 EnMS</w:t>
      </w:r>
      <w:r>
        <w:rPr>
          <w:rFonts w:ascii="Cambria" w:hAnsi="Cambria" w:eastAsia="Cambria"/>
          <w:b w:val="0"/>
          <w:i w:val="0"/>
          <w:color w:val="7F7F7F"/>
          <w:sz w:val="18"/>
        </w:rPr>
        <w:br/>
        <w:t>https://www.iso.org/standard/74863.html</w:t>
      </w:r>
    </w:p>
    <w:p>
      <w:pPr>
        <w:spacing w:after="80"/>
      </w:pPr>
      <w:r>
        <w:rPr>
          <w:rFonts w:ascii="Cambria" w:hAnsi="Cambria" w:eastAsia="Cambria"/>
          <w:b/>
          <w:i w:val="0"/>
          <w:color w:val="000000"/>
          <w:sz w:val="19"/>
        </w:rPr>
        <w:t>ISO 50006:2023 - Evaluating energy performance using EnPIs and energy baselines</w:t>
      </w:r>
      <w:r>
        <w:rPr>
          <w:rFonts w:ascii="Cambria" w:hAnsi="Cambria" w:eastAsia="Cambria"/>
          <w:b w:val="0"/>
          <w:i w:val="0"/>
          <w:color w:val="7F7F7F"/>
          <w:sz w:val="18"/>
        </w:rPr>
        <w:br/>
        <w:t>https://www.iso.org/standard/79367.html</w:t>
      </w:r>
    </w:p>
    <w:p>
      <w:pPr>
        <w:spacing w:before="80" w:after="120"/>
        <w:shd w:fill="FFF2CC"/>
      </w:pPr>
      <w:r>
        <w:rPr>
          <w:rFonts w:ascii="Cambria" w:hAnsi="Cambria" w:eastAsia="Cambria"/>
          <w:b/>
          <w:i/>
          <w:color w:val="C00000"/>
          <w:sz w:val="19"/>
        </w:rPr>
        <w:t xml:space="preserve">[Note] </w:t>
      </w:r>
      <w:r>
        <w:rPr>
          <w:rFonts w:ascii="Cambria" w:hAnsi="Cambria" w:eastAsia="Cambria"/>
          <w:b w:val="0"/>
          <w:i/>
          <w:color w:val="C00000"/>
          <w:sz w:val="19"/>
        </w:rPr>
        <w:t>Use the organization's licensed copy of the applicable standards when confirming detailed requirements. This toolkit paraphrases requirements and does not reproduce ISO standard text.</w:t>
      </w:r>
    </w:p>
    <w:p>
      <w:pPr>
        <w:pStyle w:val="Heading1"/>
      </w:pPr>
      <w:r>
        <w:t>Revision and Approval</w:t>
      </w:r>
    </w:p>
    <w:tbl>
      <w:tblPr>
        <w:tblW w:type="auto" w:w="0"/>
        <w:jc w:val="center"/>
        <w:tblLayout w:type="fixed"/>
        <w:tblLook w:val="04A0"/>
      </w:tblPr>
      <w:tblGrid>
        <w:gridCol w:w="3118"/>
        <w:gridCol w:w="3118"/>
        <w:gridCol w:w="3118"/>
      </w:tblGrid>
      <w:tr>
        <w:trPr>
          <w:tblHeader w:val="true"/>
        </w:trPr>
        <w:tc>
          <w:tcPr>
            <w:tcW w:type="dxa" w:w="136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Version</w:t>
            </w:r>
          </w:p>
        </w:tc>
        <w:tc>
          <w:tcPr>
            <w:tcW w:type="dxa" w:w="1928"/>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Date</w:t>
            </w:r>
          </w:p>
        </w:tc>
        <w:tc>
          <w:tcPr>
            <w:tcW w:type="dxa" w:w="6236"/>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Description</w:t>
            </w:r>
          </w:p>
        </w:tc>
      </w:tr>
      <w:tr>
        <w:tc>
          <w:tcPr>
            <w:tcW w:type="dxa" w:w="136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1.0</w:t>
            </w:r>
          </w:p>
        </w:tc>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2026-09-19</w:t>
            </w:r>
          </w:p>
        </w:tc>
        <w:tc>
          <w:tcPr>
            <w:tcW w:type="dxa" w:w="6236"/>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Initial issue</w:t>
            </w:r>
          </w:p>
        </w:tc>
      </w:tr>
    </w:tbl>
    <w:p/>
    <w:tbl>
      <w:tblPr>
        <w:tblW w:type="auto" w:w="0"/>
        <w:jc w:val="center"/>
        <w:tblLayout w:type="fixed"/>
        <w:tblLook w:val="04A0"/>
      </w:tblPr>
      <w:tblGrid>
        <w:gridCol w:w="2339"/>
        <w:gridCol w:w="2339"/>
        <w:gridCol w:w="2339"/>
        <w:gridCol w:w="2339"/>
      </w:tblGrid>
      <w:tr>
        <w:trPr>
          <w:tblHeader w:val="true"/>
        </w:trPr>
        <w:tc>
          <w:tcPr>
            <w:tcW w:type="dxa" w:w="238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Prepared by</w:t>
            </w:r>
          </w:p>
        </w:tc>
        <w:tc>
          <w:tcPr>
            <w:tcW w:type="dxa" w:w="238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Reviewed by</w:t>
            </w:r>
          </w:p>
        </w:tc>
        <w:tc>
          <w:tcPr>
            <w:tcW w:type="dxa" w:w="238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Approved by</w:t>
            </w:r>
          </w:p>
        </w:tc>
        <w:tc>
          <w:tcPr>
            <w:tcW w:type="dxa" w:w="238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Date</w:t>
            </w:r>
          </w:p>
        </w:tc>
      </w:tr>
      <w:tr>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[PREPARED BY]</w:t>
            </w:r>
          </w:p>
        </w:tc>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[REVIEWED BY]</w:t>
            </w:r>
          </w:p>
        </w:tc>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[APPROVER]</w:t>
            </w:r>
          </w:p>
        </w:tc>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[DATE]</w:t>
            </w:r>
          </w:p>
        </w:tc>
      </w:tr>
    </w:tbl>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w:p>
    <w:pPr>
      <w:pStyle w:val="Footer"/>
      <w:jc w:val="center"/>
    </w:pPr>
    <w:r>
      <w:rPr>
        <w:rFonts w:ascii="Cambria" w:hAnsi="Cambria" w:eastAsia="Cambria"/>
        <w:b w:val="0"/>
        <w:i w:val="0"/>
        <w:color w:val="7F7F7F"/>
        <w:sz w:val="16"/>
      </w:rPr>
      <w:t xml:space="preserve">ISO TOOLKITS DOCUMENT | www.iso-toolkits.org | info@iso-toolkits.org | Page </w:t>
    </w:r>
    <w:r>
      <w:rPr>
        <w:rFonts w:ascii="Cambria" w:hAnsi="Cambria" w:eastAsia="Cambria"/>
        <w:b w:val="0"/>
        <w:i w:val="0"/>
        <w:color w:val="7F7F7F"/>
        <w:sz w:val="16"/>
      </w:rPr>
      <w:fldChar w:fldCharType="begin"/>
      <w:instrText xml:space="preserve">PAGE</w:instrText>
      <w:fldChar w:fldCharType="end"/>
    </w:r>
    <w:r>
      <w:rPr>
        <w:rFonts w:ascii="Cambria" w:hAnsi="Cambria" w:eastAsia="Cambria"/>
        <w:b w:val="0"/>
        <w:i w:val="0"/>
        <w:color w:val="7F7F7F"/>
        <w:sz w:val="16"/>
      </w:rPr>
      <w:t xml:space="preserve"> of </w:t>
    </w:r>
    <w:r>
      <w:rPr>
        <w:rFonts w:ascii="Cambria" w:hAnsi="Cambria" w:eastAsia="Cambria"/>
        <w:b w:val="0"/>
        <w:i w:val="0"/>
        <w:color w:val="7F7F7F"/>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w:tbl>
    <w:tblPr>
      <w:tblW w:type="auto" w:w="0"/>
      <w:jc w:val="center"/>
      <w:tblLayout w:type="fixed"/>
      <w:tblLook w:val="04A0"/>
    </w:tblPr>
    <w:tblGrid>
      <w:gridCol w:w="3118"/>
      <w:gridCol w:w="3118"/>
      <w:gridCol w:w="3118"/>
    </w:tblGrid>
    <w:tr>
      <w:tc>
        <w:tcPr>
          <w:tcW w:type="dxa" w:w="1928"/>
          <w:tcBorders>
            <w:top w:val="single" w:sz="2" w:color="D9E1E8"/>
            <w:left w:val="single" w:sz="2" w:color="D9E1E8"/>
            <w:bottom w:val="single" w:sz="2" w:color="D9E1E8"/>
            <w:right w:val="single" w:sz="2" w:color="D9E1E8"/>
            <w:insideH w:val="single" w:sz="2" w:color="D9E1E8"/>
            <w:insideV w:val="single" w:sz="2" w:color="D9E1E8"/>
          </w:tcBorders>
          <w:tcMar>
            <w:top w:w="40" w:type="dxa"/>
            <w:left w:w="55" w:type="dxa"/>
            <w:bottom w:w="40" w:type="dxa"/>
            <w:right w:w="55" w:type="dxa"/>
          </w:tcMar>
        </w:tcPr>
        <w:p>
          <w:pPr>
            <w:jc w:val="left"/>
          </w:pPr>
          <w:r>
            <w:rPr>
              <w:rFonts w:ascii="Cambria" w:hAnsi="Cambria" w:eastAsia="Cambria"/>
              <w:b w:val="0"/>
              <w:i w:val="0"/>
              <w:color w:val="7F7F7F"/>
              <w:sz w:val="16"/>
            </w:rPr>
            <w:t>ORGANIZATION LOGO</w:t>
          </w:r>
        </w:p>
      </w:tc>
      <w:tc>
        <w:tcPr>
          <w:tcW w:type="dxa" w:w="4989"/>
          <w:tcBorders>
            <w:top w:val="single" w:sz="2" w:color="D9E1E8"/>
            <w:left w:val="single" w:sz="2" w:color="D9E1E8"/>
            <w:bottom w:val="single" w:sz="2" w:color="D9E1E8"/>
            <w:right w:val="single" w:sz="2" w:color="D9E1E8"/>
            <w:insideH w:val="single" w:sz="2" w:color="D9E1E8"/>
            <w:insideV w:val="single" w:sz="2" w:color="D9E1E8"/>
          </w:tcBorders>
          <w:tcMar>
            <w:top w:w="40" w:type="dxa"/>
            <w:left w:w="55" w:type="dxa"/>
            <w:bottom w:w="40" w:type="dxa"/>
            <w:right w:w="55" w:type="dxa"/>
          </w:tcMar>
        </w:tcPr>
        <w:p>
          <w:pPr>
            <w:jc w:val="center"/>
          </w:pPr>
          <w:r>
            <w:rPr>
              <w:rFonts w:ascii="Cambria" w:hAnsi="Cambria" w:eastAsia="Cambria"/>
              <w:b w:val="0"/>
              <w:i w:val="0"/>
              <w:color w:val="1F4E79"/>
              <w:sz w:val="16"/>
            </w:rPr>
            <w:t>[ORGANIZATION NAME]</w:t>
          </w:r>
          <w:r>
            <w:rPr>
              <w:rFonts w:ascii="Cambria" w:hAnsi="Cambria" w:eastAsia="Cambria"/>
              <w:b/>
              <w:i w:val="0"/>
              <w:color w:val="1F4E79"/>
              <w:sz w:val="16"/>
            </w:rPr>
            <w:br/>
            <w:t>Energy Management System Guidance</w:t>
          </w:r>
        </w:p>
      </w:tc>
      <w:tc>
        <w:tcPr>
          <w:tcW w:type="dxa" w:w="2438"/>
          <w:tcBorders>
            <w:top w:val="single" w:sz="2" w:color="D9E1E8"/>
            <w:left w:val="single" w:sz="2" w:color="D9E1E8"/>
            <w:bottom w:val="single" w:sz="2" w:color="D9E1E8"/>
            <w:right w:val="single" w:sz="2" w:color="D9E1E8"/>
            <w:insideH w:val="single" w:sz="2" w:color="D9E1E8"/>
            <w:insideV w:val="single" w:sz="2" w:color="D9E1E8"/>
          </w:tcBorders>
          <w:tcMar>
            <w:top w:w="40" w:type="dxa"/>
            <w:left w:w="55" w:type="dxa"/>
            <w:bottom w:w="40" w:type="dxa"/>
            <w:right w:w="55" w:type="dxa"/>
          </w:tcMar>
        </w:tcPr>
        <w:p>
          <w:pPr>
            <w:jc w:val="right"/>
          </w:pPr>
          <w:r>
            <w:rPr>
              <w:rFonts w:ascii="Cambria" w:hAnsi="Cambria" w:eastAsia="Cambria"/>
              <w:b w:val="0"/>
              <w:i w:val="0"/>
              <w:color w:val="7F7F7F"/>
              <w:sz w:val="16"/>
            </w:rPr>
            <w:t>EnMS-MAN-004</w:t>
          </w:r>
          <w:r>
            <w:rPr>
              <w:rFonts w:ascii="Cambria" w:hAnsi="Cambria" w:eastAsia="Cambria"/>
              <w:b w:val="0"/>
              <w:i w:val="0"/>
              <w:color w:val="7F7F7F"/>
              <w:sz w:val="16"/>
            </w:rPr>
            <w:br/>
            <w:t>Version 1.0</w:t>
          </w:r>
          <w:r>
            <w:rPr>
              <w:rFonts w:ascii="Cambria" w:hAnsi="Cambria" w:eastAsia="Cambria"/>
              <w:b w:val="0"/>
              <w:i w:val="0"/>
              <w:color w:val="7F7F7F"/>
              <w:sz w:val="16"/>
            </w:rPr>
            <w:br/>
            <w:t>Effective: 2026-09-19</w:t>
          </w:r>
        </w:p>
      </w:tc>
    </w:tr>
  </w:tbl>
</w:hdr>
</file>

<file path=word/numbering.xml><?xml version="1.0" encoding="utf-8"?>
<w:numbering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left w:val="1"/>
      <w:numFmt w:val="decimal"/>
      <w:lvlText w:val="%1."/>
      <w:lvlJc w:val="left"/>
      <w:pPr>
        <w:tabs>
          <w:tab w:val="num" w:pos="1800"/>
        </w:tabs>
        <w:ind w:left="1800" w:hanging="360"/>
      </w:pPr>
    </w:lvl>
  </w:abstractNum>
  <w:abstractNum w:abstractNumId="1">
    <w:nsid w:val="FFFFFF7D"/>
    <w:multiLevelType w:val="singleLevel"/>
    <w:tmpl w:val="E4089024"/>
    <w:lvl w:ilvl="0">
      <w:left w:val="1"/>
      <w:numFmt w:val="decimal"/>
      <w:lvlText w:val="%1."/>
      <w:lvlJc w:val="left"/>
      <w:pPr>
        <w:tabs>
          <w:tab w:val="num" w:pos="1440"/>
        </w:tabs>
        <w:ind w:left="1440" w:hanging="360"/>
      </w:pPr>
    </w:lvl>
  </w:abstractNum>
  <w:abstractNum w:abstractNumId="2">
    <w:nsid w:val="FFFFFF7E"/>
    <w:multiLevelType w:val="singleLevel"/>
    <w:tmpl w:val="FB12693A"/>
    <w:lvl w:ilvl="0">
      <w:lef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lef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lef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lef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lef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lef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lef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mbria" w:hAnsi="Cambria"/>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100" w:after="80"/>
      <w:outlineLvl w:val="2"/>
    </w:pPr>
    <w:rPr>
      <w:rFonts w:asciiTheme="majorHAnsi" w:eastAsiaTheme="majorEastAsia" w:hAnsiTheme="majorHAnsi" w:cstheme="majorBidi" w:ascii="Cambria" w:hAnsi="Cambr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 Text"/>
    <w:pPr>
      <w:spacing w:after="40"/>
    </w:pPr>
    <w:rPr>
      <w:rFonts w:ascii="Cambria" w:hAnsi="Cambri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Management System Guidance</dc:title>
  <dc:subject>Practical implementation and operating guidance for an ISO 50001 energy management system</dc:subject>
  <dc:creator>ISO Toolkits</dc:creator>
  <cp:keywords>ISO 50001, EnMS, energy management, ISO Toolkits</cp:keywords>
  <dc:description>Professional ISO 50001 implementation toolkit document.</dc:description>
  <cp:lastModifiedBy/>
  <cp:revision>1</cp:revision>
  <dcterms:created xsi:type="dcterms:W3CDTF">2013-12-23T23:15:00Z</dcterms:created>
  <dcterms:modified xsi:type="dcterms:W3CDTF">2013-12-23T23:15:00Z</dcterms:modified>
  <cp:category/>
</cp:coreProperties>
</file>