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mbria" w:hAnsi="Cambria" w:eastAsia="Cambria"/>
          <w:b/>
          <w:i w:val="0"/>
          <w:color w:val="1F4E79"/>
          <w:sz w:val="44"/>
        </w:rPr>
        <w:t>Energy Management Review Procedure</w:t>
      </w:r>
    </w:p>
    <w:p>
      <w:pPr>
        <w:jc w:val="center"/>
      </w:pPr>
      <w:r>
        <w:rPr>
          <w:rFonts w:ascii="Cambria" w:hAnsi="Cambria" w:eastAsia="Cambria"/>
          <w:b/>
          <w:i w:val="0"/>
          <w:color w:val="7F7F7F"/>
          <w:sz w:val="22"/>
        </w:rPr>
        <w:t>ISO 50001 ENERGY MANAGEMENT SYSTEM TOOLKIT</w:t>
      </w:r>
    </w:p>
    <w:p/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rHeight w:val="454"/>
        </w:trPr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Document Code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EnMS-PRO-004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Document Type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Procedure</w:t>
            </w:r>
          </w:p>
        </w:tc>
      </w:tr>
      <w:tr>
        <w:trPr>
          <w:trHeight w:val="454"/>
        </w:trPr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Applicable Standard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ISO 50001:2018 + Amendment 1:2024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Version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1.0</w:t>
            </w:r>
          </w:p>
        </w:tc>
      </w:tr>
      <w:tr>
        <w:trPr>
          <w:trHeight w:val="454"/>
        </w:trPr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Effective Date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2026-09-19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Next Review Date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2027-09-19</w:t>
            </w:r>
          </w:p>
        </w:tc>
      </w:tr>
      <w:tr>
        <w:trPr>
          <w:trHeight w:val="454"/>
        </w:trPr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Document Owner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[DOCUMENT OWNER]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Approver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[APPROVER]</w:t>
            </w:r>
          </w:p>
        </w:tc>
      </w:tr>
      <w:tr>
        <w:trPr>
          <w:trHeight w:val="454"/>
        </w:trPr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Classification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INTERNAL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Review Cycle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Annual / Upon Significant Change</w:t>
            </w:r>
          </w:p>
        </w:tc>
      </w:tr>
      <w:tr>
        <w:trPr>
          <w:trHeight w:val="454"/>
        </w:trPr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Organization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[ORGANIZATION NAME]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Status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Controlled Template</w:t>
            </w:r>
          </w:p>
        </w:tc>
      </w:tr>
    </w:tbl>
    <w:p/>
    <w:p>
      <w:pPr>
        <w:jc w:val="center"/>
      </w:pPr>
      <w:r>
        <w:rPr>
          <w:rFonts w:ascii="Cambria" w:hAnsi="Cambria" w:eastAsia="Cambria"/>
          <w:b w:val="0"/>
          <w:i w:val="0"/>
          <w:color w:val="7F7F7F"/>
          <w:sz w:val="18"/>
        </w:rPr>
        <w:t>Website: www.iso-toolkits.org | Email: info@iso-toolkits.org</w:t>
      </w:r>
    </w:p>
    <w:p>
      <w:r>
        <w:br w:type="page"/>
      </w:r>
    </w:p>
    <w:p>
      <w:pPr>
        <w:pStyle w:val="Heading1"/>
      </w:pPr>
      <w:r>
        <w:t>1. Purpose</w:t>
      </w:r>
    </w:p>
    <w:p>
      <w:r>
        <w:rPr>
          <w:rFonts w:ascii="Cambria" w:hAnsi="Cambria" w:eastAsia="Cambria"/>
          <w:b w:val="0"/>
          <w:i w:val="0"/>
          <w:color w:val="000000"/>
          <w:sz w:val="21"/>
        </w:rPr>
        <w:t>To establish a consistent process for top management to review the Energy Management System, energy performance and strategic improvement needs, and to record decisions, actions, resources and changes resulting from that review.</w:t>
      </w:r>
    </w:p>
    <w:p>
      <w:pPr>
        <w:pStyle w:val="Heading1"/>
      </w:pPr>
      <w:r>
        <w:t>2. Scope</w:t>
      </w:r>
    </w:p>
    <w:p>
      <w:r>
        <w:rPr>
          <w:rFonts w:ascii="Cambria" w:hAnsi="Cambria" w:eastAsia="Cambria"/>
          <w:b w:val="0"/>
          <w:i w:val="0"/>
          <w:color w:val="000000"/>
          <w:sz w:val="21"/>
        </w:rPr>
        <w:t>This procedure applies to formal EnMS management reviews and any additional executive review triggered by significant energy, organizational, compliance, performance or EnMS change within the defined scope and boundaries.</w:t>
      </w:r>
    </w:p>
    <w:p>
      <w:pPr>
        <w:pStyle w:val="Heading1"/>
      </w:pPr>
      <w:r>
        <w:t>3. Responsibilities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72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Role</w:t>
            </w:r>
          </w:p>
        </w:tc>
        <w:tc>
          <w:tcPr>
            <w:tcW w:type="dxa" w:w="6803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Responsibility</w:t>
            </w:r>
          </w:p>
        </w:tc>
      </w:tr>
      <w:tr>
        <w:tc>
          <w:tcPr>
            <w:tcW w:type="dxa" w:w="272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Top Management / Chair</w:t>
            </w:r>
          </w:p>
        </w:tc>
        <w:tc>
          <w:tcPr>
            <w:tcW w:type="dxa" w:w="6803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Lead the review, challenge performance, make decisions, approve priorities and resources, and confirm strategic alignment.</w:t>
            </w:r>
          </w:p>
        </w:tc>
      </w:tr>
      <w:tr>
        <w:tc>
          <w:tcPr>
            <w:tcW w:type="dxa" w:w="272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Energy Manager</w:t>
            </w:r>
          </w:p>
        </w:tc>
        <w:tc>
          <w:tcPr>
            <w:tcW w:type="dxa" w:w="6803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Coordinate the review, prepare the input pack, highlight significant changes and performance issues, and maintain the action log.</w:t>
            </w:r>
          </w:p>
        </w:tc>
      </w:tr>
      <w:tr>
        <w:tc>
          <w:tcPr>
            <w:tcW w:type="dxa" w:w="272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Energy Analyst</w:t>
            </w:r>
          </w:p>
        </w:tc>
        <w:tc>
          <w:tcPr>
            <w:tcW w:type="dxa" w:w="6803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Provide verified EnPI, baseline, consumption, savings and trend information with assumptions and data-quality caveats.</w:t>
            </w:r>
          </w:p>
        </w:tc>
      </w:tr>
      <w:tr>
        <w:tc>
          <w:tcPr>
            <w:tcW w:type="dxa" w:w="272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Process / SEU Owners</w:t>
            </w:r>
          </w:p>
        </w:tc>
        <w:tc>
          <w:tcPr>
            <w:tcW w:type="dxa" w:w="6803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Explain operational performance, control issues, actions, projects and barriers for their areas.</w:t>
            </w:r>
          </w:p>
        </w:tc>
      </w:tr>
      <w:tr>
        <w:tc>
          <w:tcPr>
            <w:tcW w:type="dxa" w:w="272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Internal Audit / Compliance Roles</w:t>
            </w:r>
          </w:p>
        </w:tc>
        <w:tc>
          <w:tcPr>
            <w:tcW w:type="dxa" w:w="6803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Provide audit, nonconformity, applicable-requirement and follow-up information.</w:t>
            </w:r>
          </w:p>
        </w:tc>
      </w:tr>
      <w:tr>
        <w:tc>
          <w:tcPr>
            <w:tcW w:type="dxa" w:w="272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Secretary / EnMS Coordinator</w:t>
            </w:r>
          </w:p>
        </w:tc>
        <w:tc>
          <w:tcPr>
            <w:tcW w:type="dxa" w:w="6803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Record attendance, decisions, action owners, due dates, approvals and follow-up evidence.</w:t>
            </w:r>
          </w:p>
        </w:tc>
      </w:tr>
    </w:tbl>
    <w:p>
      <w:pPr>
        <w:pStyle w:val="Heading1"/>
      </w:pPr>
      <w:r>
        <w:t>4. Review Frequency and Triggers</w:t>
      </w:r>
    </w:p>
    <w:p>
      <w:r>
        <w:rPr>
          <w:rFonts w:ascii="Cambria" w:hAnsi="Cambria" w:eastAsia="Cambria"/>
          <w:b w:val="0"/>
          <w:i w:val="0"/>
          <w:color w:val="000000"/>
          <w:sz w:val="21"/>
        </w:rPr>
        <w:t>The organization shall define a planned review frequency that is appropriate to its EnMS maturity, energy-performance cycle and governance rhythm. Additional review should be considered when a significant change could affect the EnMS or its energy performance.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118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Potential trigger</w:t>
            </w:r>
          </w:p>
        </w:tc>
        <w:tc>
          <w:tcPr>
            <w:tcW w:type="dxa" w:w="6406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Examples</w:t>
            </w:r>
          </w:p>
        </w:tc>
      </w:tr>
      <w:tr>
        <w:tc>
          <w:tcPr>
            <w:tcW w:type="dxa" w:w="311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Significant energy-performance change</w:t>
            </w:r>
          </w:p>
        </w:tc>
        <w:tc>
          <w:tcPr>
            <w:tcW w:type="dxa" w:w="6406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Unexpected EnPI deterioration, material savings shortfall, significant tariff or supply change.</w:t>
            </w:r>
          </w:p>
        </w:tc>
      </w:tr>
      <w:tr>
        <w:tc>
          <w:tcPr>
            <w:tcW w:type="dxa" w:w="311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Major asset / process change</w:t>
            </w:r>
          </w:p>
        </w:tc>
        <w:tc>
          <w:tcPr>
            <w:tcW w:type="dxa" w:w="6406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New line, major refurbishment, site expansion, production shift, fuel switch or metering redesign.</w:t>
            </w:r>
          </w:p>
        </w:tc>
      </w:tr>
      <w:tr>
        <w:tc>
          <w:tcPr>
            <w:tcW w:type="dxa" w:w="311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System / governance change</w:t>
            </w:r>
          </w:p>
        </w:tc>
        <w:tc>
          <w:tcPr>
            <w:tcW w:type="dxa" w:w="6406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Scope change, major organizational restructure, certification issue or repeated audit findings.</w:t>
            </w:r>
          </w:p>
        </w:tc>
      </w:tr>
      <w:tr>
        <w:tc>
          <w:tcPr>
            <w:tcW w:type="dxa" w:w="311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External change</w:t>
            </w:r>
          </w:p>
        </w:tc>
        <w:tc>
          <w:tcPr>
            <w:tcW w:type="dxa" w:w="6406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Relevant legal, customer, interested-party or climate-related context change.</w:t>
            </w:r>
          </w:p>
        </w:tc>
      </w:tr>
    </w:tbl>
    <w:p>
      <w:pPr>
        <w:spacing w:before="80" w:after="120"/>
        <w:shd w:fill="FFF2CC"/>
      </w:pPr>
      <w:r>
        <w:rPr>
          <w:rFonts w:ascii="Cambria" w:hAnsi="Cambria" w:eastAsia="Cambria"/>
          <w:b/>
          <w:i/>
          <w:color w:val="C00000"/>
          <w:sz w:val="19"/>
        </w:rPr>
        <w:t xml:space="preserve">[Note] </w:t>
      </w:r>
      <w:r>
        <w:rPr>
          <w:rFonts w:ascii="Cambria" w:hAnsi="Cambria" w:eastAsia="Cambria"/>
          <w:b w:val="0"/>
          <w:i/>
          <w:color w:val="C00000"/>
          <w:sz w:val="19"/>
        </w:rPr>
        <w:t>A management review should result in management decisions, not only presentation of data. The minutes should show what top management decided to continue, change, resource, escalate or improve.</w:t>
      </w:r>
    </w:p>
    <w:p>
      <w:pPr>
        <w:pStyle w:val="Heading1"/>
      </w:pPr>
      <w:r>
        <w:t>5. Procedure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794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Step</w:t>
            </w:r>
          </w:p>
        </w:tc>
        <w:tc>
          <w:tcPr>
            <w:tcW w:type="dxa" w:w="1928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Responsible</w:t>
            </w:r>
          </w:p>
        </w:tc>
        <w:tc>
          <w:tcPr>
            <w:tcW w:type="dxa" w:w="481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Activity</w:t>
            </w:r>
          </w:p>
        </w:tc>
        <w:tc>
          <w:tcPr>
            <w:tcW w:type="dxa" w:w="1984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Output / Record</w:t>
            </w:r>
          </w:p>
        </w:tc>
      </w:tr>
      <w:tr>
        <w:tc>
          <w:tcPr>
            <w:tcW w:type="dxa" w:w="79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1</w:t>
            </w:r>
          </w:p>
        </w:tc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Energy Manager</w:t>
            </w:r>
          </w:p>
        </w:tc>
        <w:tc>
          <w:tcPr>
            <w:tcW w:type="dxa" w:w="4819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Schedule the review, confirm chair, participants, scope and review period. Define the cut-off date for data and actions.</w:t>
            </w:r>
          </w:p>
        </w:tc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Review calendar / invitation</w:t>
            </w:r>
          </w:p>
        </w:tc>
      </w:tr>
      <w:tr>
        <w:tc>
          <w:tcPr>
            <w:tcW w:type="dxa" w:w="79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2</w:t>
            </w:r>
          </w:p>
        </w:tc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Energy Manager / Data Owners</w:t>
            </w:r>
          </w:p>
        </w:tc>
        <w:tc>
          <w:tcPr>
            <w:tcW w:type="dxa" w:w="4819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Collect and validate the review inputs. Resolve material data-quality issues or disclose limitations in the review pack.</w:t>
            </w:r>
          </w:p>
        </w:tc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Validated input pack</w:t>
            </w:r>
          </w:p>
        </w:tc>
      </w:tr>
      <w:tr>
        <w:tc>
          <w:tcPr>
            <w:tcW w:type="dxa" w:w="79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3</w:t>
            </w:r>
          </w:p>
        </w:tc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Energy Manager</w:t>
            </w:r>
          </w:p>
        </w:tc>
        <w:tc>
          <w:tcPr>
            <w:tcW w:type="dxa" w:w="4819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Summarize changes in context, interested-party requirements, scope, risks/opportunities, EnMS performance and significant energy matters.</w:t>
            </w:r>
          </w:p>
        </w:tc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Management review brief</w:t>
            </w:r>
          </w:p>
        </w:tc>
      </w:tr>
      <w:tr>
        <w:tc>
          <w:tcPr>
            <w:tcW w:type="dxa" w:w="79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4</w:t>
            </w:r>
          </w:p>
        </w:tc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Energy Analyst</w:t>
            </w:r>
          </w:p>
        </w:tc>
        <w:tc>
          <w:tcPr>
            <w:tcW w:type="dxa" w:w="4819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Prepare energy-performance information: energy consumption, EnPI trends, baseline comparisons, objectives/targets, verified improvement results and material deviations.</w:t>
            </w:r>
          </w:p>
        </w:tc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Energy performance pack</w:t>
            </w:r>
          </w:p>
        </w:tc>
      </w:tr>
      <w:tr>
        <w:tc>
          <w:tcPr>
            <w:tcW w:type="dxa" w:w="79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5</w:t>
            </w:r>
          </w:p>
        </w:tc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Audit / Process Owners</w:t>
            </w:r>
          </w:p>
        </w:tc>
        <w:tc>
          <w:tcPr>
            <w:tcW w:type="dxa" w:w="4819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Provide status of internal audits, nonconformities, corrective actions, operational controls, design/procurement activities and prior management-review actions.</w:t>
            </w:r>
          </w:p>
        </w:tc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Assurance / action inputs</w:t>
            </w:r>
          </w:p>
        </w:tc>
      </w:tr>
      <w:tr>
        <w:tc>
          <w:tcPr>
            <w:tcW w:type="dxa" w:w="79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6</w:t>
            </w:r>
          </w:p>
        </w:tc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Chair / Top Management</w:t>
            </w:r>
          </w:p>
        </w:tc>
        <w:tc>
          <w:tcPr>
            <w:tcW w:type="dxa" w:w="4819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Conduct the review. Challenge assumptions, evaluate trends and determine whether the EnMS remains suitable, adequate and effective for the organization.</w:t>
            </w:r>
          </w:p>
        </w:tc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Recorded discussion / decisions</w:t>
            </w:r>
          </w:p>
        </w:tc>
      </w:tr>
      <w:tr>
        <w:tc>
          <w:tcPr>
            <w:tcW w:type="dxa" w:w="79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7</w:t>
            </w:r>
          </w:p>
        </w:tc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Chair / Top Management</w:t>
            </w:r>
          </w:p>
        </w:tc>
        <w:tc>
          <w:tcPr>
            <w:tcW w:type="dxa" w:w="4819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Decide on improvement priorities, changes to the EnMS, objectives, resources, operating controls, EnPIs/baselines or other strategic actions where warranted.</w:t>
            </w:r>
          </w:p>
        </w:tc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Decisions and action assignments</w:t>
            </w:r>
          </w:p>
        </w:tc>
      </w:tr>
      <w:tr>
        <w:tc>
          <w:tcPr>
            <w:tcW w:type="dxa" w:w="79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8</w:t>
            </w:r>
          </w:p>
        </w:tc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Secretary / Energy Manager</w:t>
            </w:r>
          </w:p>
        </w:tc>
        <w:tc>
          <w:tcPr>
            <w:tcW w:type="dxa" w:w="4819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Record minutes, action owner, due date, evidence required and escalation path. Obtain approval of the minutes.</w:t>
            </w:r>
          </w:p>
        </w:tc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Approved minutes / action log</w:t>
            </w:r>
          </w:p>
        </w:tc>
      </w:tr>
      <w:tr>
        <w:tc>
          <w:tcPr>
            <w:tcW w:type="dxa" w:w="79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9</w:t>
            </w:r>
          </w:p>
        </w:tc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Action Owners</w:t>
            </w:r>
          </w:p>
        </w:tc>
        <w:tc>
          <w:tcPr>
            <w:tcW w:type="dxa" w:w="4819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Implement assigned actions and provide objective evidence of completion and effectiveness.</w:t>
            </w:r>
          </w:p>
        </w:tc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Action evidence</w:t>
            </w:r>
          </w:p>
        </w:tc>
      </w:tr>
      <w:tr>
        <w:tc>
          <w:tcPr>
            <w:tcW w:type="dxa" w:w="79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10</w:t>
            </w:r>
          </w:p>
        </w:tc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Energy Manager</w:t>
            </w:r>
          </w:p>
        </w:tc>
        <w:tc>
          <w:tcPr>
            <w:tcW w:type="dxa" w:w="4819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Track actions to closure, escalate overdue or blocked items and carry unresolved items into the next relevant governance review.</w:t>
            </w:r>
          </w:p>
        </w:tc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Updated action log</w:t>
            </w:r>
          </w:p>
        </w:tc>
      </w:tr>
    </w:tbl>
    <w:p>
      <w:pPr>
        <w:pStyle w:val="Heading1"/>
      </w:pPr>
      <w:r>
        <w:t>6. Management Review Input Framework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118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Input area</w:t>
            </w:r>
          </w:p>
        </w:tc>
        <w:tc>
          <w:tcPr>
            <w:tcW w:type="dxa" w:w="6406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Examples of decision-useful evidence</w:t>
            </w:r>
          </w:p>
        </w:tc>
      </w:tr>
      <w:tr>
        <w:tc>
          <w:tcPr>
            <w:tcW w:type="dxa" w:w="311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Previous review actions</w:t>
            </w:r>
          </w:p>
        </w:tc>
        <w:tc>
          <w:tcPr>
            <w:tcW w:type="dxa" w:w="6406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Status, overdue actions, effectiveness and unresolved constraints.</w:t>
            </w:r>
          </w:p>
        </w:tc>
      </w:tr>
      <w:tr>
        <w:tc>
          <w:tcPr>
            <w:tcW w:type="dxa" w:w="311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Changes in context and interested parties</w:t>
            </w:r>
          </w:p>
        </w:tc>
        <w:tc>
          <w:tcPr>
            <w:tcW w:type="dxa" w:w="6406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Organizational, market, utility, legal, customer, climate or operational changes relevant to the EnMS.</w:t>
            </w:r>
          </w:p>
        </w:tc>
      </w:tr>
      <w:tr>
        <w:tc>
          <w:tcPr>
            <w:tcW w:type="dxa" w:w="311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Energy policy and strategic alignment</w:t>
            </w:r>
          </w:p>
        </w:tc>
        <w:tc>
          <w:tcPr>
            <w:tcW w:type="dxa" w:w="6406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Need for policy update; consistency with business priorities and energy strategy.</w:t>
            </w:r>
          </w:p>
        </w:tc>
      </w:tr>
      <w:tr>
        <w:tc>
          <w:tcPr>
            <w:tcW w:type="dxa" w:w="311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Energy performance</w:t>
            </w:r>
          </w:p>
        </w:tc>
        <w:tc>
          <w:tcPr>
            <w:tcW w:type="dxa" w:w="6406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Energy consumption, EnPI trends, energy baselines, normalization assumptions and significant deviations.</w:t>
            </w:r>
          </w:p>
        </w:tc>
      </w:tr>
      <w:tr>
        <w:tc>
          <w:tcPr>
            <w:tcW w:type="dxa" w:w="311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Objectives, targets and action plans</w:t>
            </w:r>
          </w:p>
        </w:tc>
        <w:tc>
          <w:tcPr>
            <w:tcW w:type="dxa" w:w="6406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Progress, benefits achieved, forecast, resource needs and barriers.</w:t>
            </w:r>
          </w:p>
        </w:tc>
      </w:tr>
      <w:tr>
        <w:tc>
          <w:tcPr>
            <w:tcW w:type="dxa" w:w="311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SEUs and operational controls</w:t>
            </w:r>
          </w:p>
        </w:tc>
        <w:tc>
          <w:tcPr>
            <w:tcW w:type="dxa" w:w="6406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SEU performance, relevant variables, operating criteria, maintenance issues and capability.</w:t>
            </w:r>
          </w:p>
        </w:tc>
      </w:tr>
      <w:tr>
        <w:tc>
          <w:tcPr>
            <w:tcW w:type="dxa" w:w="311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Monitoring and measurement</w:t>
            </w:r>
          </w:p>
        </w:tc>
        <w:tc>
          <w:tcPr>
            <w:tcW w:type="dxa" w:w="6406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Data coverage, meter reliability, calibration/verification status and material data-quality issues.</w:t>
            </w:r>
          </w:p>
        </w:tc>
      </w:tr>
      <w:tr>
        <w:tc>
          <w:tcPr>
            <w:tcW w:type="dxa" w:w="311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Audit and nonconformity</w:t>
            </w:r>
          </w:p>
        </w:tc>
        <w:tc>
          <w:tcPr>
            <w:tcW w:type="dxa" w:w="6406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Internal audit results, certification issues, corrective action status and recurring themes.</w:t>
            </w:r>
          </w:p>
        </w:tc>
      </w:tr>
      <w:tr>
        <w:tc>
          <w:tcPr>
            <w:tcW w:type="dxa" w:w="311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Design and procurement</w:t>
            </w:r>
          </w:p>
        </w:tc>
        <w:tc>
          <w:tcPr>
            <w:tcW w:type="dxa" w:w="6406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Significant projects, procurement decisions and energy-performance implications.</w:t>
            </w:r>
          </w:p>
        </w:tc>
      </w:tr>
      <w:tr>
        <w:tc>
          <w:tcPr>
            <w:tcW w:type="dxa" w:w="311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Improvement opportunities</w:t>
            </w:r>
          </w:p>
        </w:tc>
        <w:tc>
          <w:tcPr>
            <w:tcW w:type="dxa" w:w="6406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Prioritized opportunities, investment decisions and verified improvement potential.</w:t>
            </w:r>
          </w:p>
        </w:tc>
      </w:tr>
    </w:tbl>
    <w:p>
      <w:pPr>
        <w:pStyle w:val="Heading1"/>
      </w:pPr>
      <w:r>
        <w:t>7. Required Outputs and Decisions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Decisions on continued suitability, adequacy and effectiveness of the EnMS.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Priorities and opportunities for improvement in the EnMS and energy performance.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Changes needed to policy, objectives, action plans, SEUs, EnPIs, energy baselines, operational controls or documented information.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Resource, competence, technology, metering or investment decisions.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Actions, owners, target dates, required evidence and escalation arrangements.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Any communication or follow-up required with relevant internal or external parties.</w:t>
      </w:r>
    </w:p>
    <w:p>
      <w:pPr>
        <w:pStyle w:val="Heading1"/>
      </w:pPr>
      <w:r>
        <w:t>8. Action Control and Escalation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288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Condition</w:t>
            </w:r>
          </w:p>
        </w:tc>
        <w:tc>
          <w:tcPr>
            <w:tcW w:type="dxa" w:w="6236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Required response</w:t>
            </w:r>
          </w:p>
        </w:tc>
      </w:tr>
      <w:tr>
        <w:tc>
          <w:tcPr>
            <w:tcW w:type="dxa" w:w="328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High-priority action overdue</w:t>
            </w:r>
          </w:p>
        </w:tc>
        <w:tc>
          <w:tcPr>
            <w:tcW w:type="dxa" w:w="6236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Escalate to the action owner and management-review chair; confirm revised date and interim control.</w:t>
            </w:r>
          </w:p>
        </w:tc>
      </w:tr>
      <w:tr>
        <w:tc>
          <w:tcPr>
            <w:tcW w:type="dxa" w:w="328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Blocked action affects energy performance or compliance</w:t>
            </w:r>
          </w:p>
        </w:tc>
        <w:tc>
          <w:tcPr>
            <w:tcW w:type="dxa" w:w="6236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Define interim mitigation and management decision; do not simply extend the due date.</w:t>
            </w:r>
          </w:p>
        </w:tc>
      </w:tr>
      <w:tr>
        <w:tc>
          <w:tcPr>
            <w:tcW w:type="dxa" w:w="328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Decision depends on uncertain data</w:t>
            </w:r>
          </w:p>
        </w:tc>
        <w:tc>
          <w:tcPr>
            <w:tcW w:type="dxa" w:w="6236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Assign data-quality or validation action and record the limitation in the minutes.</w:t>
            </w:r>
          </w:p>
        </w:tc>
      </w:tr>
      <w:tr>
        <w:tc>
          <w:tcPr>
            <w:tcW w:type="dxa" w:w="328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Repeated finding or recurring deterioration</w:t>
            </w:r>
          </w:p>
        </w:tc>
        <w:tc>
          <w:tcPr>
            <w:tcW w:type="dxa" w:w="6236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Require cause analysis and management-level corrective action.</w:t>
            </w:r>
          </w:p>
        </w:tc>
      </w:tr>
    </w:tbl>
    <w:p>
      <w:pPr>
        <w:pStyle w:val="Heading1"/>
      </w:pPr>
      <w:r>
        <w:t>9. Records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06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Record</w:t>
            </w:r>
          </w:p>
        </w:tc>
        <w:tc>
          <w:tcPr>
            <w:tcW w:type="dxa" w:w="6463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Minimum content</w:t>
            </w:r>
          </w:p>
        </w:tc>
      </w:tr>
      <w:tr>
        <w:tc>
          <w:tcPr>
            <w:tcW w:type="dxa" w:w="30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Review agenda and input pack</w:t>
            </w:r>
          </w:p>
        </w:tc>
        <w:tc>
          <w:tcPr>
            <w:tcW w:type="dxa" w:w="6463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Review period, prepared inputs, source/date and key assumptions.</w:t>
            </w:r>
          </w:p>
        </w:tc>
      </w:tr>
      <w:tr>
        <w:tc>
          <w:tcPr>
            <w:tcW w:type="dxa" w:w="30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Attendance</w:t>
            </w:r>
          </w:p>
        </w:tc>
        <w:tc>
          <w:tcPr>
            <w:tcW w:type="dxa" w:w="6463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Chair, attendees, invitees and relevant roles.</w:t>
            </w:r>
          </w:p>
        </w:tc>
      </w:tr>
      <w:tr>
        <w:tc>
          <w:tcPr>
            <w:tcW w:type="dxa" w:w="30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Approved minutes</w:t>
            </w:r>
          </w:p>
        </w:tc>
        <w:tc>
          <w:tcPr>
            <w:tcW w:type="dxa" w:w="6463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Key discussion points, decisions, changes and approvals.</w:t>
            </w:r>
          </w:p>
        </w:tc>
      </w:tr>
      <w:tr>
        <w:tc>
          <w:tcPr>
            <w:tcW w:type="dxa" w:w="30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Action log</w:t>
            </w:r>
          </w:p>
        </w:tc>
        <w:tc>
          <w:tcPr>
            <w:tcW w:type="dxa" w:w="6463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Action, owner, due date, priority/status, evidence and closure verification.</w:t>
            </w:r>
          </w:p>
        </w:tc>
      </w:tr>
    </w:tbl>
    <w:p>
      <w:pPr>
        <w:pStyle w:val="Heading1"/>
      </w:pPr>
      <w:r>
        <w:t>10. Related Documents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Energy Management Review Agenda &amp; Minutes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Energy Management Review Guidance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Energy Management System Guidance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Internal Energy Audit Report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Energy Performance Indicator Charts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Energy Baseline Evaluation Checklist</w:t>
      </w:r>
    </w:p>
    <w:p>
      <w:pPr>
        <w:pStyle w:val="Heading1"/>
      </w:pPr>
      <w:r>
        <w:t>References</w:t>
      </w:r>
    </w:p>
    <w:p>
      <w:pPr>
        <w:spacing w:after="80"/>
      </w:pPr>
      <w:r>
        <w:rPr>
          <w:rFonts w:ascii="Cambria" w:hAnsi="Cambria" w:eastAsia="Cambria"/>
          <w:b/>
          <w:i w:val="0"/>
          <w:color w:val="000000"/>
          <w:sz w:val="19"/>
        </w:rPr>
        <w:t>ISO 50001:2018 - Energy management systems - Requirements with guidance for use</w:t>
      </w:r>
      <w:r>
        <w:rPr>
          <w:rFonts w:ascii="Cambria" w:hAnsi="Cambria" w:eastAsia="Cambria"/>
          <w:b w:val="0"/>
          <w:i w:val="0"/>
          <w:color w:val="7F7F7F"/>
          <w:sz w:val="18"/>
        </w:rPr>
        <w:br/>
        <w:t>https://www.iso.org/standard/69426.html</w:t>
      </w:r>
    </w:p>
    <w:p>
      <w:pPr>
        <w:spacing w:after="80"/>
      </w:pPr>
      <w:r>
        <w:rPr>
          <w:rFonts w:ascii="Cambria" w:hAnsi="Cambria" w:eastAsia="Cambria"/>
          <w:b/>
          <w:i w:val="0"/>
          <w:color w:val="000000"/>
          <w:sz w:val="19"/>
        </w:rPr>
        <w:t>ISO 50001:2018/Amd 1:2024 - Climate action changes</w:t>
      </w:r>
      <w:r>
        <w:rPr>
          <w:rFonts w:ascii="Cambria" w:hAnsi="Cambria" w:eastAsia="Cambria"/>
          <w:b w:val="0"/>
          <w:i w:val="0"/>
          <w:color w:val="7F7F7F"/>
          <w:sz w:val="18"/>
        </w:rPr>
        <w:br/>
        <w:t>https://www.iso.org/standard/88430.html</w:t>
      </w:r>
    </w:p>
    <w:p>
      <w:pPr>
        <w:spacing w:after="80"/>
      </w:pPr>
      <w:r>
        <w:rPr>
          <w:rFonts w:ascii="Cambria" w:hAnsi="Cambria" w:eastAsia="Cambria"/>
          <w:b/>
          <w:i w:val="0"/>
          <w:color w:val="000000"/>
          <w:sz w:val="19"/>
        </w:rPr>
        <w:t>ISO 50004:2020 - Guidance for implementation, maintenance and improvement of an ISO 50001 EnMS</w:t>
      </w:r>
      <w:r>
        <w:rPr>
          <w:rFonts w:ascii="Cambria" w:hAnsi="Cambria" w:eastAsia="Cambria"/>
          <w:b w:val="0"/>
          <w:i w:val="0"/>
          <w:color w:val="7F7F7F"/>
          <w:sz w:val="18"/>
        </w:rPr>
        <w:br/>
        <w:t>https://www.iso.org/standard/74863.html</w:t>
      </w:r>
    </w:p>
    <w:p>
      <w:pPr>
        <w:spacing w:after="80"/>
      </w:pPr>
      <w:r>
        <w:rPr>
          <w:rFonts w:ascii="Cambria" w:hAnsi="Cambria" w:eastAsia="Cambria"/>
          <w:b/>
          <w:i w:val="0"/>
          <w:color w:val="000000"/>
          <w:sz w:val="19"/>
        </w:rPr>
        <w:t>ISO 50006:2023 - Evaluating energy performance using EnPIs and energy baselines</w:t>
      </w:r>
      <w:r>
        <w:rPr>
          <w:rFonts w:ascii="Cambria" w:hAnsi="Cambria" w:eastAsia="Cambria"/>
          <w:b w:val="0"/>
          <w:i w:val="0"/>
          <w:color w:val="7F7F7F"/>
          <w:sz w:val="18"/>
        </w:rPr>
        <w:br/>
        <w:t>https://www.iso.org/standard/79367.html</w:t>
      </w:r>
    </w:p>
    <w:p>
      <w:pPr>
        <w:spacing w:before="80" w:after="120"/>
        <w:shd w:fill="FFF2CC"/>
      </w:pPr>
      <w:r>
        <w:rPr>
          <w:rFonts w:ascii="Cambria" w:hAnsi="Cambria" w:eastAsia="Cambria"/>
          <w:b/>
          <w:i/>
          <w:color w:val="C00000"/>
          <w:sz w:val="19"/>
        </w:rPr>
        <w:t xml:space="preserve">[Note] </w:t>
      </w:r>
      <w:r>
        <w:rPr>
          <w:rFonts w:ascii="Cambria" w:hAnsi="Cambria" w:eastAsia="Cambria"/>
          <w:b w:val="0"/>
          <w:i/>
          <w:color w:val="C00000"/>
          <w:sz w:val="19"/>
        </w:rPr>
        <w:t>Use the organization's licensed copy of the applicable standards when confirming detailed requirements. This toolkit paraphrases requirements and does not reproduce ISO standard text.</w:t>
      </w:r>
    </w:p>
    <w:p>
      <w:pPr>
        <w:pStyle w:val="Heading1"/>
      </w:pPr>
      <w: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136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Version</w:t>
            </w:r>
          </w:p>
        </w:tc>
        <w:tc>
          <w:tcPr>
            <w:tcW w:type="dxa" w:w="1928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Date</w:t>
            </w:r>
          </w:p>
        </w:tc>
        <w:tc>
          <w:tcPr>
            <w:tcW w:type="dxa" w:w="6236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Description</w:t>
            </w:r>
          </w:p>
        </w:tc>
      </w:tr>
      <w:tr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1.0</w:t>
            </w:r>
          </w:p>
        </w:tc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2026-09-19</w:t>
            </w:r>
          </w:p>
        </w:tc>
        <w:tc>
          <w:tcPr>
            <w:tcW w:type="dxa" w:w="6236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Initial issue</w:t>
            </w:r>
          </w:p>
        </w:tc>
      </w:tr>
    </w:tbl>
    <w:p/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238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Prepared by</w:t>
            </w:r>
          </w:p>
        </w:tc>
        <w:tc>
          <w:tcPr>
            <w:tcW w:type="dxa" w:w="238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Reviewed by</w:t>
            </w:r>
          </w:p>
        </w:tc>
        <w:tc>
          <w:tcPr>
            <w:tcW w:type="dxa" w:w="238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Approved by</w:t>
            </w:r>
          </w:p>
        </w:tc>
        <w:tc>
          <w:tcPr>
            <w:tcW w:type="dxa" w:w="238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Date</w:t>
            </w:r>
          </w:p>
        </w:tc>
      </w:tr>
      <w:tr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[PREPARED BY]</w:t>
            </w:r>
          </w:p>
        </w:tc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[REVIEWED BY]</w:t>
            </w:r>
          </w:p>
        </w:tc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[APPROVER]</w:t>
            </w:r>
          </w:p>
        </w:tc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[DATE]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>
    <w:pPr>
      <w:pStyle w:val="Footer"/>
      <w:jc w:val="center"/>
    </w:pPr>
    <w:r>
      <w:rPr>
        <w:rFonts w:ascii="Cambria" w:hAnsi="Cambria" w:eastAsia="Cambria"/>
        <w:b w:val="0"/>
        <w:i w:val="0"/>
        <w:color w:val="7F7F7F"/>
        <w:sz w:val="16"/>
      </w:rPr>
      <w:t xml:space="preserve">ISO TOOLKITS DOCUMENT | www.iso-toolkits.org | info@iso-toolkits.org | Page </w:t>
    </w:r>
    <w:r>
      <w:rPr>
        <w:rFonts w:ascii="Cambria" w:hAnsi="Cambria" w:eastAsia="Cambria"/>
        <w:b w:val="0"/>
        <w:i w:val="0"/>
        <w:color w:val="7F7F7F"/>
        <w:sz w:val="16"/>
      </w:rPr>
      <w:fldChar w:fldCharType="begin"/>
      <w:instrText xml:space="preserve">PAGE</w:instrText>
      <w:fldChar w:fldCharType="end"/>
    </w:r>
    <w:r>
      <w:rPr>
        <w:rFonts w:ascii="Cambria" w:hAnsi="Cambria" w:eastAsia="Cambria"/>
        <w:b w:val="0"/>
        <w:i w:val="0"/>
        <w:color w:val="7F7F7F"/>
        <w:sz w:val="16"/>
      </w:rPr>
      <w:t xml:space="preserve"> of </w:t>
    </w:r>
    <w:r>
      <w:rPr>
        <w:rFonts w:ascii="Cambria" w:hAnsi="Cambria" w:eastAsia="Cambria"/>
        <w:b w:val="0"/>
        <w:i w:val="0"/>
        <w:color w:val="7F7F7F"/>
        <w:sz w:val="16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928"/>
          <w:tcBorders>
            <w:top w:val="single" w:sz="2" w:color="D9E1E8"/>
            <w:left w:val="single" w:sz="2" w:color="D9E1E8"/>
            <w:bottom w:val="single" w:sz="2" w:color="D9E1E8"/>
            <w:right w:val="single" w:sz="2" w:color="D9E1E8"/>
            <w:insideH w:val="single" w:sz="2" w:color="D9E1E8"/>
            <w:insideV w:val="single" w:sz="2" w:color="D9E1E8"/>
          </w:tcBorders>
          <w:tcMar>
            <w:top w:w="40" w:type="dxa"/>
            <w:left w:w="55" w:type="dxa"/>
            <w:bottom w:w="40" w:type="dxa"/>
            <w:right w:w="55" w:type="dxa"/>
          </w:tcMar>
        </w:tcPr>
        <w:p>
          <w:pPr>
            <w:jc w:val="left"/>
          </w:pPr>
          <w:r>
            <w:rPr>
              <w:rFonts w:ascii="Cambria" w:hAnsi="Cambria" w:eastAsia="Cambria"/>
              <w:b w:val="0"/>
              <w:i w:val="0"/>
              <w:color w:val="7F7F7F"/>
              <w:sz w:val="16"/>
            </w:rPr>
            <w:t>ORGANIZATION LOGO</w:t>
          </w:r>
        </w:p>
      </w:tc>
      <w:tc>
        <w:tcPr>
          <w:tcW w:type="dxa" w:w="4989"/>
          <w:tcBorders>
            <w:top w:val="single" w:sz="2" w:color="D9E1E8"/>
            <w:left w:val="single" w:sz="2" w:color="D9E1E8"/>
            <w:bottom w:val="single" w:sz="2" w:color="D9E1E8"/>
            <w:right w:val="single" w:sz="2" w:color="D9E1E8"/>
            <w:insideH w:val="single" w:sz="2" w:color="D9E1E8"/>
            <w:insideV w:val="single" w:sz="2" w:color="D9E1E8"/>
          </w:tcBorders>
          <w:tcMar>
            <w:top w:w="40" w:type="dxa"/>
            <w:left w:w="55" w:type="dxa"/>
            <w:bottom w:w="40" w:type="dxa"/>
            <w:right w:w="55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1F4E79"/>
              <w:sz w:val="16"/>
            </w:rPr>
            <w:t>[ORGANIZATION NAME]</w:t>
          </w: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br/>
            <w:t>Energy Management Review Procedure</w:t>
          </w:r>
        </w:p>
      </w:tc>
      <w:tc>
        <w:tcPr>
          <w:tcW w:type="dxa" w:w="2438"/>
          <w:tcBorders>
            <w:top w:val="single" w:sz="2" w:color="D9E1E8"/>
            <w:left w:val="single" w:sz="2" w:color="D9E1E8"/>
            <w:bottom w:val="single" w:sz="2" w:color="D9E1E8"/>
            <w:right w:val="single" w:sz="2" w:color="D9E1E8"/>
            <w:insideH w:val="single" w:sz="2" w:color="D9E1E8"/>
            <w:insideV w:val="single" w:sz="2" w:color="D9E1E8"/>
          </w:tcBorders>
          <w:tcMar>
            <w:top w:w="40" w:type="dxa"/>
            <w:left w:w="55" w:type="dxa"/>
            <w:bottom w:w="40" w:type="dxa"/>
            <w:right w:w="55" w:type="dxa"/>
          </w:tcMar>
        </w:tcPr>
        <w:p>
          <w:pPr>
            <w:jc w:val="right"/>
          </w:pPr>
          <w:r>
            <w:rPr>
              <w:rFonts w:ascii="Cambria" w:hAnsi="Cambria" w:eastAsia="Cambria"/>
              <w:b w:val="0"/>
              <w:i w:val="0"/>
              <w:color w:val="7F7F7F"/>
              <w:sz w:val="16"/>
            </w:rPr>
            <w:t>EnMS-PRO-004</w:t>
          </w:r>
          <w:r>
            <w:rPr>
              <w:rFonts w:ascii="Cambria" w:hAnsi="Cambria" w:eastAsia="Cambria"/>
              <w:b w:val="0"/>
              <w:i w:val="0"/>
              <w:color w:val="7F7F7F"/>
              <w:sz w:val="16"/>
            </w:rPr>
            <w:br/>
            <w:t>Version 1.0</w:t>
          </w:r>
          <w:r>
            <w:rPr>
              <w:rFonts w:ascii="Cambria" w:hAnsi="Cambria" w:eastAsia="Cambria"/>
              <w:b w:val="0"/>
              <w:i w:val="0"/>
              <w:color w:val="7F7F7F"/>
              <w:sz w:val="16"/>
            </w:rPr>
            <w:br/>
            <w:t>Effective: 2026-09-19</w:t>
          </w:r>
        </w:p>
      </w:tc>
    </w:tr>
  </w:tbl>
</w:hdr>
</file>

<file path=word/numbering.xml><?xml version="1.0" encoding="utf-8"?>
<w:numbering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lef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lef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lef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lef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lef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lef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lef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lef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lef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Cambria" w:hAnsi="Cambr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mbria" w:hAnsi="Cambria"/>
      <w:b/>
      <w:bCs/>
      <w:color w:val="1F4E79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80"/>
      <w:outlineLvl w:val="2"/>
    </w:pPr>
    <w:rPr>
      <w:rFonts w:asciiTheme="majorHAnsi" w:eastAsiaTheme="majorEastAsia" w:hAnsiTheme="majorHAnsi" w:cstheme="majorBidi" w:ascii="Cambria" w:hAnsi="Cambr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Text">
    <w:name w:val="Small Text"/>
    <w:pPr>
      <w:spacing w:after="40"/>
    </w:pPr>
    <w:rPr>
      <w:rFonts w:ascii="Cambria" w:hAnsi="Cambri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Management Review Procedure</dc:title>
  <dc:subject>ISO 50001 energy management review planning, conduct and action control</dc:subject>
  <dc:creator>ISO Toolkits</dc:creator>
  <cp:keywords>ISO 50001, EnMS, energy management, ISO Toolkits</cp:keywords>
  <dc:description>Professional ISO 50001 implementation toolkit document.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