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mbria" w:hAnsi="Cambria" w:eastAsia="Cambria"/>
          <w:b/>
          <w:i w:val="0"/>
          <w:color w:val="1F4E79"/>
          <w:sz w:val="44"/>
        </w:rPr>
        <w:t>Energy Management Review Guidance</w:t>
      </w:r>
    </w:p>
    <w:p>
      <w:pPr>
        <w:jc w:val="center"/>
      </w:pPr>
      <w:r>
        <w:rPr>
          <w:rFonts w:ascii="Cambria" w:hAnsi="Cambria" w:eastAsia="Cambria"/>
          <w:b/>
          <w:i w:val="0"/>
          <w:color w:val="7F7F7F"/>
          <w:sz w:val="22"/>
        </w:rPr>
        <w:t>ISO 50001 ENERGY MANAGEMENT SYSTEM TOOLKIT</w:t>
      </w:r>
    </w:p>
    <w:p/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rHeight w:val="454"/>
        </w:trPr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Document Code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EnMS-MAN-003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Document Type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Guidance</w:t>
            </w:r>
          </w:p>
        </w:tc>
      </w:tr>
      <w:tr>
        <w:trPr>
          <w:trHeight w:val="454"/>
        </w:trPr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Applicable Standard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ISO 50001:2018 + Amendment 1:2024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Version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1.0</w:t>
            </w:r>
          </w:p>
        </w:tc>
      </w:tr>
      <w:tr>
        <w:trPr>
          <w:trHeight w:val="454"/>
        </w:trPr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Effective Date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2026-09-19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Next Review Date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2027-09-19</w:t>
            </w:r>
          </w:p>
        </w:tc>
      </w:tr>
      <w:tr>
        <w:trPr>
          <w:trHeight w:val="454"/>
        </w:trPr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Document Owner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[DOCUMENT OWNER]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Approver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[APPROVER]</w:t>
            </w:r>
          </w:p>
        </w:tc>
      </w:tr>
      <w:tr>
        <w:trPr>
          <w:trHeight w:val="454"/>
        </w:trPr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Classification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INTERNAL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Review Cycle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Annual / Upon Significant Change</w:t>
            </w:r>
          </w:p>
        </w:tc>
      </w:tr>
      <w:tr>
        <w:trPr>
          <w:trHeight w:val="454"/>
        </w:trPr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Organization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[ORGANIZATION NAME]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EAF3F8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/>
                <w:i w:val="0"/>
                <w:color w:val="000000"/>
                <w:sz w:val="18"/>
              </w:rPr>
              <w:t>Status</w:t>
            </w:r>
          </w:p>
        </w:tc>
        <w:tc>
          <w:tcPr>
            <w:tcW w:type="dxa" w:w="23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Controlled Template</w:t>
            </w:r>
          </w:p>
        </w:tc>
      </w:tr>
    </w:tbl>
    <w:p/>
    <w:p>
      <w:pPr>
        <w:jc w:val="center"/>
      </w:pPr>
      <w:r>
        <w:rPr>
          <w:rFonts w:ascii="Cambria" w:hAnsi="Cambria" w:eastAsia="Cambria"/>
          <w:b w:val="0"/>
          <w:i w:val="0"/>
          <w:color w:val="7F7F7F"/>
          <w:sz w:val="18"/>
        </w:rPr>
        <w:t>Website: www.iso-toolkits.org | Email: info@iso-toolkits.org</w:t>
      </w:r>
    </w:p>
    <w:p>
      <w:r>
        <w:br w:type="page"/>
      </w:r>
    </w:p>
    <w:p>
      <w:pPr>
        <w:pStyle w:val="Heading1"/>
      </w:pPr>
      <w:r>
        <w:t>1. Purpose of this Guidance</w:t>
      </w:r>
    </w:p>
    <w:p>
      <w:r>
        <w:rPr>
          <w:rFonts w:ascii="Cambria" w:hAnsi="Cambria" w:eastAsia="Cambria"/>
          <w:b w:val="0"/>
          <w:i w:val="0"/>
          <w:color w:val="000000"/>
          <w:sz w:val="21"/>
        </w:rPr>
        <w:t>This guidance explains how to prepare, facilitate and follow up an energy management review so that top management can make evidence-based decisions about the EnMS and energy performance. It is designed for Energy Managers, executive sponsors, analysts, process owners and meeting secretaries.</w:t>
      </w:r>
    </w:p>
    <w:p>
      <w:pPr>
        <w:pStyle w:val="Heading1"/>
      </w:pPr>
      <w:r>
        <w:t>2. What a Good Management Review Should Achieve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Give top management a concise view of whether the EnMS is working as intended.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Show whether energy performance is improving using credible EnPIs, baselines and verified data.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Explain material deviations, uncertainties, barriers and opportunities instead of only presenting charts.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Confirm whether priorities, objectives, action plans, resources and controls remain appropriate.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Generate clear management decisions with owners, dates and required evidence.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Escalate issues that process-level management cannot resolve.</w:t>
      </w:r>
    </w:p>
    <w:p>
      <w:pPr>
        <w:pStyle w:val="Heading1"/>
      </w:pPr>
      <w:r>
        <w:t>3. Recommended Preparation Timeline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1928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Timing</w:t>
            </w:r>
          </w:p>
        </w:tc>
        <w:tc>
          <w:tcPr>
            <w:tcW w:type="dxa" w:w="5443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Activity</w:t>
            </w:r>
          </w:p>
        </w:tc>
        <w:tc>
          <w:tcPr>
            <w:tcW w:type="dxa" w:w="2154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Owner</w:t>
            </w:r>
          </w:p>
        </w:tc>
      </w:tr>
      <w:tr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4-6 weeks before</w:t>
            </w:r>
          </w:p>
        </w:tc>
        <w:tc>
          <w:tcPr>
            <w:tcW w:type="dxa" w:w="5443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Confirm review date, period, participants and data cut-off.</w:t>
            </w:r>
          </w:p>
        </w:tc>
        <w:tc>
          <w:tcPr>
            <w:tcW w:type="dxa" w:w="215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Energy Manager</w:t>
            </w:r>
          </w:p>
        </w:tc>
      </w:tr>
      <w:tr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3-4 weeks before</w:t>
            </w:r>
          </w:p>
        </w:tc>
        <w:tc>
          <w:tcPr>
            <w:tcW w:type="dxa" w:w="5443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Request updated inputs from data, SEU, action, audit, procurement/design and project owners.</w:t>
            </w:r>
          </w:p>
        </w:tc>
        <w:tc>
          <w:tcPr>
            <w:tcW w:type="dxa" w:w="215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EnMS Coordinator</w:t>
            </w:r>
          </w:p>
        </w:tc>
      </w:tr>
      <w:tr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2-3 weeks before</w:t>
            </w:r>
          </w:p>
        </w:tc>
        <w:tc>
          <w:tcPr>
            <w:tcW w:type="dxa" w:w="5443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Validate energy data, investigate material anomalies and prepare management-level trends.</w:t>
            </w:r>
          </w:p>
        </w:tc>
        <w:tc>
          <w:tcPr>
            <w:tcW w:type="dxa" w:w="215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Energy Analyst</w:t>
            </w:r>
          </w:p>
        </w:tc>
      </w:tr>
      <w:tr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1-2 weeks before</w:t>
            </w:r>
          </w:p>
        </w:tc>
        <w:tc>
          <w:tcPr>
            <w:tcW w:type="dxa" w:w="5443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Draft input pack; highlight decisions required, risks, opportunities and resource constraints.</w:t>
            </w:r>
          </w:p>
        </w:tc>
        <w:tc>
          <w:tcPr>
            <w:tcW w:type="dxa" w:w="215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Energy Manager</w:t>
            </w:r>
          </w:p>
        </w:tc>
      </w:tr>
      <w:tr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3-5 days before</w:t>
            </w:r>
          </w:p>
        </w:tc>
        <w:tc>
          <w:tcPr>
            <w:tcW w:type="dxa" w:w="5443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Issue agenda and concise pre-read; confirm presenters and unresolved questions.</w:t>
            </w:r>
          </w:p>
        </w:tc>
        <w:tc>
          <w:tcPr>
            <w:tcW w:type="dxa" w:w="215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Energy Manager / Secretary</w:t>
            </w:r>
          </w:p>
        </w:tc>
      </w:tr>
      <w:tr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Within 3 working days after</w:t>
            </w:r>
          </w:p>
        </w:tc>
        <w:tc>
          <w:tcPr>
            <w:tcW w:type="dxa" w:w="5443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Issue draft minutes and action log.</w:t>
            </w:r>
          </w:p>
        </w:tc>
        <w:tc>
          <w:tcPr>
            <w:tcW w:type="dxa" w:w="215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Secretary / Energy Manager</w:t>
            </w:r>
          </w:p>
        </w:tc>
      </w:tr>
      <w:tr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After approval</w:t>
            </w:r>
          </w:p>
        </w:tc>
        <w:tc>
          <w:tcPr>
            <w:tcW w:type="dxa" w:w="5443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Track actions and escalate overdue or blocked items.</w:t>
            </w:r>
          </w:p>
        </w:tc>
        <w:tc>
          <w:tcPr>
            <w:tcW w:type="dxa" w:w="215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Energy Manager / Action Owners</w:t>
            </w:r>
          </w:p>
        </w:tc>
      </w:tr>
    </w:tbl>
    <w:p>
      <w:pPr>
        <w:pStyle w:val="Heading1"/>
      </w:pPr>
      <w:r>
        <w:t>4. Build a Decision-Ready Input Pack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38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Input</w:t>
            </w:r>
          </w:p>
        </w:tc>
        <w:tc>
          <w:tcPr>
            <w:tcW w:type="dxa" w:w="464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Show management</w:t>
            </w:r>
          </w:p>
        </w:tc>
        <w:tc>
          <w:tcPr>
            <w:tcW w:type="dxa" w:w="2494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Avoid</w:t>
            </w:r>
          </w:p>
        </w:tc>
      </w:tr>
      <w:tr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Energy performance</w:t>
            </w:r>
          </w:p>
        </w:tc>
        <w:tc>
          <w:tcPr>
            <w:tcW w:type="dxa" w:w="4649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Trend, target/baseline comparison, material drivers, interpretation and action needed.</w:t>
            </w:r>
          </w:p>
        </w:tc>
        <w:tc>
          <w:tcPr>
            <w:tcW w:type="dxa" w:w="249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Large raw-data tables with no explanation.</w:t>
            </w:r>
          </w:p>
        </w:tc>
      </w:tr>
      <w:tr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Objectives &amp; action plans</w:t>
            </w:r>
          </w:p>
        </w:tc>
        <w:tc>
          <w:tcPr>
            <w:tcW w:type="dxa" w:w="4649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Progress, benefit realized, forecast, barrier and decision required.</w:t>
            </w:r>
          </w:p>
        </w:tc>
        <w:tc>
          <w:tcPr>
            <w:tcW w:type="dxa" w:w="249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Only percent complete without outcome or benefit.</w:t>
            </w:r>
          </w:p>
        </w:tc>
      </w:tr>
      <w:tr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SEUs</w:t>
            </w:r>
          </w:p>
        </w:tc>
        <w:tc>
          <w:tcPr>
            <w:tcW w:type="dxa" w:w="4649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Performance, relevant variables, operating/maintenance issues and significant change.</w:t>
            </w:r>
          </w:p>
        </w:tc>
        <w:tc>
          <w:tcPr>
            <w:tcW w:type="dxa" w:w="249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Long equipment lists without priority.</w:t>
            </w:r>
          </w:p>
        </w:tc>
      </w:tr>
      <w:tr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EnPIs / EnBs</w:t>
            </w:r>
          </w:p>
        </w:tc>
        <w:tc>
          <w:tcPr>
            <w:tcW w:type="dxa" w:w="4649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Method stability, change rationale, normalization issues and confidence in results.</w:t>
            </w:r>
          </w:p>
        </w:tc>
        <w:tc>
          <w:tcPr>
            <w:tcW w:type="dxa" w:w="249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Changing methods without traceability.</w:t>
            </w:r>
          </w:p>
        </w:tc>
      </w:tr>
      <w:tr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Audit / NC / CAPA</w:t>
            </w:r>
          </w:p>
        </w:tc>
        <w:tc>
          <w:tcPr>
            <w:tcW w:type="dxa" w:w="4649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Major themes, repeat issues, overdue actions and effectiveness.</w:t>
            </w:r>
          </w:p>
        </w:tc>
        <w:tc>
          <w:tcPr>
            <w:tcW w:type="dxa" w:w="249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Reading every finding line by line.</w:t>
            </w:r>
          </w:p>
        </w:tc>
      </w:tr>
      <w:tr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Design / procurement</w:t>
            </w:r>
          </w:p>
        </w:tc>
        <w:tc>
          <w:tcPr>
            <w:tcW w:type="dxa" w:w="4649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Strategic projects and decisions with material energy implications.</w:t>
            </w:r>
          </w:p>
        </w:tc>
        <w:tc>
          <w:tcPr>
            <w:tcW w:type="dxa" w:w="249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Routine purchases with no energy significance.</w:t>
            </w:r>
          </w:p>
        </w:tc>
      </w:tr>
      <w:tr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Opportunities</w:t>
            </w:r>
          </w:p>
        </w:tc>
        <w:tc>
          <w:tcPr>
            <w:tcW w:type="dxa" w:w="4649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Savings potential, cost/benefit, feasibility, risk and decision gate.</w:t>
            </w:r>
          </w:p>
        </w:tc>
        <w:tc>
          <w:tcPr>
            <w:tcW w:type="dxa" w:w="249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Unprioritized ideas with no owner.</w:t>
            </w:r>
          </w:p>
        </w:tc>
      </w:tr>
    </w:tbl>
    <w:p>
      <w:pPr>
        <w:spacing w:before="80" w:after="120"/>
        <w:shd w:fill="FFF2CC"/>
      </w:pPr>
      <w:r>
        <w:rPr>
          <w:rFonts w:ascii="Cambria" w:hAnsi="Cambria" w:eastAsia="Cambria"/>
          <w:b/>
          <w:i/>
          <w:color w:val="C00000"/>
          <w:sz w:val="19"/>
        </w:rPr>
        <w:t xml:space="preserve">[Note] </w:t>
      </w:r>
      <w:r>
        <w:rPr>
          <w:rFonts w:ascii="Cambria" w:hAnsi="Cambria" w:eastAsia="Cambria"/>
          <w:b w:val="0"/>
          <w:i/>
          <w:color w:val="C00000"/>
          <w:sz w:val="19"/>
        </w:rPr>
        <w:t>Management review information should be accurate enough to support decisions. If data are incomplete or uncertain, state the limitation and assign a follow-up action instead of presenting unsupported precision.</w:t>
      </w:r>
    </w:p>
    <w:p>
      <w:pPr>
        <w:pStyle w:val="Heading1"/>
      </w:pPr>
      <w:r>
        <w:t>5. Energy Performance Storyline</w:t>
      </w:r>
    </w:p>
    <w:p>
      <w:pPr>
        <w:pStyle w:val="ListNumber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Start with the overall energy-performance message: improving, deteriorating, stable or uncertain.</w:t>
      </w:r>
    </w:p>
    <w:p>
      <w:pPr>
        <w:pStyle w:val="ListNumber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Explain the main drivers using relevant variables and static factors where appropriate.</w:t>
      </w:r>
    </w:p>
    <w:p>
      <w:pPr>
        <w:pStyle w:val="ListNumber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Show EnPI performance against baseline and target, not only absolute consumption.</w:t>
      </w:r>
    </w:p>
    <w:p>
      <w:pPr>
        <w:pStyle w:val="ListNumber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Separate verified improvement from changes caused by production, weather, boundary or other drivers.</w:t>
      </w:r>
    </w:p>
    <w:p>
      <w:pPr>
        <w:pStyle w:val="ListNumber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Identify the most material gaps and opportunities that require management attention.</w:t>
      </w:r>
    </w:p>
    <w:p>
      <w:pPr>
        <w:pStyle w:val="ListNumber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State the decision required from management.</w:t>
      </w:r>
    </w:p>
    <w:p>
      <w:pPr>
        <w:pStyle w:val="Heading1"/>
      </w:pPr>
      <w:r>
        <w:t>6. Questions the Chair Should Ask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268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Topic</w:t>
            </w:r>
          </w:p>
        </w:tc>
        <w:tc>
          <w:tcPr>
            <w:tcW w:type="dxa" w:w="7257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Management question</w:t>
            </w:r>
          </w:p>
        </w:tc>
      </w:tr>
      <w:tr>
        <w:tc>
          <w:tcPr>
            <w:tcW w:type="dxa" w:w="226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Performance</w:t>
            </w:r>
          </w:p>
        </w:tc>
        <w:tc>
          <w:tcPr>
            <w:tcW w:type="dxa" w:w="725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Which changes are real energy-performance improvement and which are caused by volume, weather, product mix or boundary changes?</w:t>
            </w:r>
          </w:p>
        </w:tc>
      </w:tr>
      <w:tr>
        <w:tc>
          <w:tcPr>
            <w:tcW w:type="dxa" w:w="226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SEUs</w:t>
            </w:r>
          </w:p>
        </w:tc>
        <w:tc>
          <w:tcPr>
            <w:tcW w:type="dxa" w:w="725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Which significant energy uses are not performing as expected and what is limiting improvement?</w:t>
            </w:r>
          </w:p>
        </w:tc>
      </w:tr>
      <w:tr>
        <w:tc>
          <w:tcPr>
            <w:tcW w:type="dxa" w:w="226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Objectives</w:t>
            </w:r>
          </w:p>
        </w:tc>
        <w:tc>
          <w:tcPr>
            <w:tcW w:type="dxa" w:w="725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Which objective is most at risk and what management decision would change the outcome?</w:t>
            </w:r>
          </w:p>
        </w:tc>
      </w:tr>
      <w:tr>
        <w:tc>
          <w:tcPr>
            <w:tcW w:type="dxa" w:w="226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Data quality</w:t>
            </w:r>
          </w:p>
        </w:tc>
        <w:tc>
          <w:tcPr>
            <w:tcW w:type="dxa" w:w="725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What important decision is currently limited by missing, unreliable or insufficiently granular energy data?</w:t>
            </w:r>
          </w:p>
        </w:tc>
      </w:tr>
      <w:tr>
        <w:tc>
          <w:tcPr>
            <w:tcW w:type="dxa" w:w="226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Investment</w:t>
            </w:r>
          </w:p>
        </w:tc>
        <w:tc>
          <w:tcPr>
            <w:tcW w:type="dxa" w:w="725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Which opportunity has the strongest combination of verified potential, feasibility and strategic value?</w:t>
            </w:r>
          </w:p>
        </w:tc>
      </w:tr>
      <w:tr>
        <w:tc>
          <w:tcPr>
            <w:tcW w:type="dxa" w:w="226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Assurance</w:t>
            </w:r>
          </w:p>
        </w:tc>
        <w:tc>
          <w:tcPr>
            <w:tcW w:type="dxa" w:w="725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Are audit findings or repeated nonconformities pointing to a systemic control weakness?</w:t>
            </w:r>
          </w:p>
        </w:tc>
      </w:tr>
      <w:tr>
        <w:tc>
          <w:tcPr>
            <w:tcW w:type="dxa" w:w="226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Resources</w:t>
            </w:r>
          </w:p>
        </w:tc>
        <w:tc>
          <w:tcPr>
            <w:tcW w:type="dxa" w:w="725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Where are competence, time, technology or budget constraints preventing delivery?</w:t>
            </w:r>
          </w:p>
        </w:tc>
      </w:tr>
      <w:tr>
        <w:tc>
          <w:tcPr>
            <w:tcW w:type="dxa" w:w="226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System change</w:t>
            </w:r>
          </w:p>
        </w:tc>
        <w:tc>
          <w:tcPr>
            <w:tcW w:type="dxa" w:w="7257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Do current EnPIs, baselines, SEUs, scope or operating controls still reflect how the organization operates?</w:t>
            </w:r>
          </w:p>
        </w:tc>
      </w:tr>
    </w:tbl>
    <w:p>
      <w:pPr>
        <w:pStyle w:val="Heading1"/>
      </w:pPr>
      <w:r>
        <w:t>7. Document Decisions Clearly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3685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Weak minute</w:t>
            </w:r>
          </w:p>
        </w:tc>
        <w:tc>
          <w:tcPr>
            <w:tcW w:type="dxa" w:w="5839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Stronger minute</w:t>
            </w:r>
          </w:p>
        </w:tc>
      </w:tr>
      <w:tr>
        <w:tc>
          <w:tcPr>
            <w:tcW w:type="dxa" w:w="368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"Energy use discussed."</w:t>
            </w:r>
          </w:p>
        </w:tc>
        <w:tc>
          <w:tcPr>
            <w:tcW w:type="dxa" w:w="5839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"Management accepted the normalized EnPI method and requested investigation of the Packaging Line 2 deterioration by 15 October."</w:t>
            </w:r>
          </w:p>
        </w:tc>
      </w:tr>
      <w:tr>
        <w:tc>
          <w:tcPr>
            <w:tcW w:type="dxa" w:w="368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"Metering needs improvement."</w:t>
            </w:r>
          </w:p>
        </w:tc>
        <w:tc>
          <w:tcPr>
            <w:tcW w:type="dxa" w:w="5839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"Approve installation of one chilled-water sub-meter; Facilities Manager to commission and update the data plan by 10 November."</w:t>
            </w:r>
          </w:p>
        </w:tc>
      </w:tr>
      <w:tr>
        <w:tc>
          <w:tcPr>
            <w:tcW w:type="dxa" w:w="3685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"Continue project."</w:t>
            </w:r>
          </w:p>
        </w:tc>
        <w:tc>
          <w:tcPr>
            <w:tcW w:type="dxa" w:w="5839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"Continue compressor optimization project; release capital budget after leak-repair benefits are verified for two reporting periods."</w:t>
            </w:r>
          </w:p>
        </w:tc>
      </w:tr>
    </w:tbl>
    <w:p>
      <w:pPr>
        <w:pStyle w:val="Heading1"/>
      </w:pPr>
      <w:r>
        <w:t>8. Action Management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Assign one accountable owner for each action.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Use a due date that reflects decision urgency and dependencies.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Define the evidence expected for closure; "complete" is not evidence.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For energy-performance actions, define how the benefit or effectiveness will be verified.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Escalate blocked actions rather than repeatedly extending dates without a decision.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Carry unresolved actions forward with the original action reference so traceability is not lost.</w:t>
      </w:r>
    </w:p>
    <w:p>
      <w:pPr>
        <w:pStyle w:val="Heading1"/>
      </w:pPr>
      <w:r>
        <w:t>9. Common Failure Modes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55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Failure mode</w:t>
            </w:r>
          </w:p>
        </w:tc>
        <w:tc>
          <w:tcPr>
            <w:tcW w:type="dxa" w:w="3572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Why it weakens the review</w:t>
            </w:r>
          </w:p>
        </w:tc>
        <w:tc>
          <w:tcPr>
            <w:tcW w:type="dxa" w:w="3402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Correction</w:t>
            </w:r>
          </w:p>
        </w:tc>
      </w:tr>
      <w:tr>
        <w:tc>
          <w:tcPr>
            <w:tcW w:type="dxa" w:w="255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Too much operational detail</w:t>
            </w:r>
          </w:p>
        </w:tc>
        <w:tc>
          <w:tcPr>
            <w:tcW w:type="dxa" w:w="3572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Management cannot see the critical messages or decisions required.</w:t>
            </w:r>
          </w:p>
        </w:tc>
        <w:tc>
          <w:tcPr>
            <w:tcW w:type="dxa" w:w="3402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Use an exception-based executive summary; keep detailed appendices outside the core discussion.</w:t>
            </w:r>
          </w:p>
        </w:tc>
      </w:tr>
      <w:tr>
        <w:tc>
          <w:tcPr>
            <w:tcW w:type="dxa" w:w="255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Charts without interpretation</w:t>
            </w:r>
          </w:p>
        </w:tc>
        <w:tc>
          <w:tcPr>
            <w:tcW w:type="dxa" w:w="3572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Trend movement is visible but not understood.</w:t>
            </w:r>
          </w:p>
        </w:tc>
        <w:tc>
          <w:tcPr>
            <w:tcW w:type="dxa" w:w="3402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State drivers, confidence level and management implication.</w:t>
            </w:r>
          </w:p>
        </w:tc>
      </w:tr>
      <w:tr>
        <w:tc>
          <w:tcPr>
            <w:tcW w:type="dxa" w:w="255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Only good news is reported</w:t>
            </w:r>
          </w:p>
        </w:tc>
        <w:tc>
          <w:tcPr>
            <w:tcW w:type="dxa" w:w="3572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Risks and barriers remain unmanaged.</w:t>
            </w:r>
          </w:p>
        </w:tc>
        <w:tc>
          <w:tcPr>
            <w:tcW w:type="dxa" w:w="3402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Include significant adverse trends, data limitations and blocked actions.</w:t>
            </w:r>
          </w:p>
        </w:tc>
      </w:tr>
      <w:tr>
        <w:tc>
          <w:tcPr>
            <w:tcW w:type="dxa" w:w="255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Actions lack evidence criteria</w:t>
            </w:r>
          </w:p>
        </w:tc>
        <w:tc>
          <w:tcPr>
            <w:tcW w:type="dxa" w:w="3572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Closure becomes activity-based rather than outcome-based.</w:t>
            </w:r>
          </w:p>
        </w:tc>
        <w:tc>
          <w:tcPr>
            <w:tcW w:type="dxa" w:w="3402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Define required deliverable and effectiveness check.</w:t>
            </w:r>
          </w:p>
        </w:tc>
      </w:tr>
      <w:tr>
        <w:tc>
          <w:tcPr>
            <w:tcW w:type="dxa" w:w="255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Review is disconnected from budgeting</w:t>
            </w:r>
          </w:p>
        </w:tc>
        <w:tc>
          <w:tcPr>
            <w:tcW w:type="dxa" w:w="3572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Priority improvements are discussed but not resourced.</w:t>
            </w:r>
          </w:p>
        </w:tc>
        <w:tc>
          <w:tcPr>
            <w:tcW w:type="dxa" w:w="3402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7"/>
              </w:rPr>
              <w:t>Bring investment, resource and procurement decisions into the review.</w:t>
            </w:r>
          </w:p>
        </w:tc>
      </w:tr>
    </w:tbl>
    <w:p>
      <w:pPr>
        <w:pStyle w:val="Heading1"/>
      </w:pPr>
      <w:r>
        <w:t>10. Evidence Pack Checklist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1020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Check</w:t>
            </w:r>
          </w:p>
        </w:tc>
        <w:tc>
          <w:tcPr>
            <w:tcW w:type="dxa" w:w="8504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Evidence available</w:t>
            </w:r>
          </w:p>
        </w:tc>
      </w:tr>
      <w:tr>
        <w:tc>
          <w:tcPr>
            <w:tcW w:type="dxa" w:w="1020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 ]</w:t>
            </w:r>
          </w:p>
        </w:tc>
        <w:tc>
          <w:tcPr>
            <w:tcW w:type="dxa" w:w="850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Previous review action status and closure evidence</w:t>
            </w:r>
          </w:p>
        </w:tc>
      </w:tr>
      <w:tr>
        <w:tc>
          <w:tcPr>
            <w:tcW w:type="dxa" w:w="1020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 ]</w:t>
            </w:r>
          </w:p>
        </w:tc>
        <w:tc>
          <w:tcPr>
            <w:tcW w:type="dxa" w:w="850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Energy consumption and EnPI trend pack with assumptions</w:t>
            </w:r>
          </w:p>
        </w:tc>
      </w:tr>
      <w:tr>
        <w:tc>
          <w:tcPr>
            <w:tcW w:type="dxa" w:w="1020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 ]</w:t>
            </w:r>
          </w:p>
        </w:tc>
        <w:tc>
          <w:tcPr>
            <w:tcW w:type="dxa" w:w="850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Energy baseline status and adjustment records</w:t>
            </w:r>
          </w:p>
        </w:tc>
      </w:tr>
      <w:tr>
        <w:tc>
          <w:tcPr>
            <w:tcW w:type="dxa" w:w="1020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 ]</w:t>
            </w:r>
          </w:p>
        </w:tc>
        <w:tc>
          <w:tcPr>
            <w:tcW w:type="dxa" w:w="850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Objective / target progress and verified benefits</w:t>
            </w:r>
          </w:p>
        </w:tc>
      </w:tr>
      <w:tr>
        <w:tc>
          <w:tcPr>
            <w:tcW w:type="dxa" w:w="1020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 ]</w:t>
            </w:r>
          </w:p>
        </w:tc>
        <w:tc>
          <w:tcPr>
            <w:tcW w:type="dxa" w:w="850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SEU performance and operational-control issues</w:t>
            </w:r>
          </w:p>
        </w:tc>
      </w:tr>
      <w:tr>
        <w:tc>
          <w:tcPr>
            <w:tcW w:type="dxa" w:w="1020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 ]</w:t>
            </w:r>
          </w:p>
        </w:tc>
        <w:tc>
          <w:tcPr>
            <w:tcW w:type="dxa" w:w="850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Audit, nonconformity and corrective action summary</w:t>
            </w:r>
          </w:p>
        </w:tc>
      </w:tr>
      <w:tr>
        <w:tc>
          <w:tcPr>
            <w:tcW w:type="dxa" w:w="1020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 ]</w:t>
            </w:r>
          </w:p>
        </w:tc>
        <w:tc>
          <w:tcPr>
            <w:tcW w:type="dxa" w:w="850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Monitoring, metering and material data-quality issues</w:t>
            </w:r>
          </w:p>
        </w:tc>
      </w:tr>
      <w:tr>
        <w:tc>
          <w:tcPr>
            <w:tcW w:type="dxa" w:w="1020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 ]</w:t>
            </w:r>
          </w:p>
        </w:tc>
        <w:tc>
          <w:tcPr>
            <w:tcW w:type="dxa" w:w="850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Relevant design, procurement and change information</w:t>
            </w:r>
          </w:p>
        </w:tc>
      </w:tr>
      <w:tr>
        <w:tc>
          <w:tcPr>
            <w:tcW w:type="dxa" w:w="1020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 ]</w:t>
            </w:r>
          </w:p>
        </w:tc>
        <w:tc>
          <w:tcPr>
            <w:tcW w:type="dxa" w:w="850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Prioritized improvement opportunities and resource requests</w:t>
            </w:r>
          </w:p>
        </w:tc>
      </w:tr>
      <w:tr>
        <w:tc>
          <w:tcPr>
            <w:tcW w:type="dxa" w:w="1020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 ]</w:t>
            </w:r>
          </w:p>
        </w:tc>
        <w:tc>
          <w:tcPr>
            <w:tcW w:type="dxa" w:w="8504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Draft decisions / questions requiring management direction</w:t>
            </w:r>
          </w:p>
        </w:tc>
      </w:tr>
    </w:tbl>
    <w:p>
      <w:pPr>
        <w:pStyle w:val="Heading1"/>
      </w:pPr>
      <w:r>
        <w:t>11. Related Toolkit Documents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Energy Management Review Procedure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Energy Management Review Agenda &amp; Minutes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Energy Performance Indicator Charts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Energy Baseline Evaluation Checklist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Energy Management System Guidance</w:t>
      </w:r>
    </w:p>
    <w:p>
      <w:pPr>
        <w:pStyle w:val="ListBullet"/>
        <w:spacing w:after="40"/>
      </w:pPr>
      <w:r>
        <w:rPr>
          <w:rFonts w:ascii="Cambria" w:hAnsi="Cambria" w:eastAsia="Cambria"/>
          <w:b w:val="0"/>
          <w:i w:val="0"/>
          <w:color w:val="000000"/>
          <w:sz w:val="21"/>
        </w:rPr>
        <w:t>Internal Energy Audit Report</w:t>
      </w:r>
    </w:p>
    <w:p>
      <w:pPr>
        <w:pStyle w:val="Heading1"/>
      </w:pPr>
      <w:r>
        <w:t>References</w:t>
      </w:r>
    </w:p>
    <w:p>
      <w:pPr>
        <w:spacing w:after="80"/>
      </w:pPr>
      <w:r>
        <w:rPr>
          <w:rFonts w:ascii="Cambria" w:hAnsi="Cambria" w:eastAsia="Cambria"/>
          <w:b/>
          <w:i w:val="0"/>
          <w:color w:val="000000"/>
          <w:sz w:val="19"/>
        </w:rPr>
        <w:t>ISO 50001:2018 - Energy management systems - Requirements with guidance for use</w:t>
      </w:r>
      <w:r>
        <w:rPr>
          <w:rFonts w:ascii="Cambria" w:hAnsi="Cambria" w:eastAsia="Cambria"/>
          <w:b w:val="0"/>
          <w:i w:val="0"/>
          <w:color w:val="7F7F7F"/>
          <w:sz w:val="18"/>
        </w:rPr>
        <w:br/>
        <w:t>https://www.iso.org/standard/69426.html</w:t>
      </w:r>
    </w:p>
    <w:p>
      <w:pPr>
        <w:spacing w:after="80"/>
      </w:pPr>
      <w:r>
        <w:rPr>
          <w:rFonts w:ascii="Cambria" w:hAnsi="Cambria" w:eastAsia="Cambria"/>
          <w:b/>
          <w:i w:val="0"/>
          <w:color w:val="000000"/>
          <w:sz w:val="19"/>
        </w:rPr>
        <w:t>ISO 50001:2018/Amd 1:2024 - Climate action changes</w:t>
      </w:r>
      <w:r>
        <w:rPr>
          <w:rFonts w:ascii="Cambria" w:hAnsi="Cambria" w:eastAsia="Cambria"/>
          <w:b w:val="0"/>
          <w:i w:val="0"/>
          <w:color w:val="7F7F7F"/>
          <w:sz w:val="18"/>
        </w:rPr>
        <w:br/>
        <w:t>https://www.iso.org/standard/88430.html</w:t>
      </w:r>
    </w:p>
    <w:p>
      <w:pPr>
        <w:spacing w:after="80"/>
      </w:pPr>
      <w:r>
        <w:rPr>
          <w:rFonts w:ascii="Cambria" w:hAnsi="Cambria" w:eastAsia="Cambria"/>
          <w:b/>
          <w:i w:val="0"/>
          <w:color w:val="000000"/>
          <w:sz w:val="19"/>
        </w:rPr>
        <w:t>ISO 50004:2020 - Guidance for implementation, maintenance and improvement of an ISO 50001 EnMS</w:t>
      </w:r>
      <w:r>
        <w:rPr>
          <w:rFonts w:ascii="Cambria" w:hAnsi="Cambria" w:eastAsia="Cambria"/>
          <w:b w:val="0"/>
          <w:i w:val="0"/>
          <w:color w:val="7F7F7F"/>
          <w:sz w:val="18"/>
        </w:rPr>
        <w:br/>
        <w:t>https://www.iso.org/standard/74863.html</w:t>
      </w:r>
    </w:p>
    <w:p>
      <w:pPr>
        <w:spacing w:after="80"/>
      </w:pPr>
      <w:r>
        <w:rPr>
          <w:rFonts w:ascii="Cambria" w:hAnsi="Cambria" w:eastAsia="Cambria"/>
          <w:b/>
          <w:i w:val="0"/>
          <w:color w:val="000000"/>
          <w:sz w:val="19"/>
        </w:rPr>
        <w:t>ISO 50006:2023 - Evaluating energy performance using EnPIs and energy baselines</w:t>
      </w:r>
      <w:r>
        <w:rPr>
          <w:rFonts w:ascii="Cambria" w:hAnsi="Cambria" w:eastAsia="Cambria"/>
          <w:b w:val="0"/>
          <w:i w:val="0"/>
          <w:color w:val="7F7F7F"/>
          <w:sz w:val="18"/>
        </w:rPr>
        <w:br/>
        <w:t>https://www.iso.org/standard/79367.html</w:t>
      </w:r>
    </w:p>
    <w:p>
      <w:pPr>
        <w:spacing w:before="80" w:after="120"/>
        <w:shd w:fill="FFF2CC"/>
      </w:pPr>
      <w:r>
        <w:rPr>
          <w:rFonts w:ascii="Cambria" w:hAnsi="Cambria" w:eastAsia="Cambria"/>
          <w:b/>
          <w:i/>
          <w:color w:val="C00000"/>
          <w:sz w:val="19"/>
        </w:rPr>
        <w:t xml:space="preserve">[Note] </w:t>
      </w:r>
      <w:r>
        <w:rPr>
          <w:rFonts w:ascii="Cambria" w:hAnsi="Cambria" w:eastAsia="Cambria"/>
          <w:b w:val="0"/>
          <w:i/>
          <w:color w:val="C00000"/>
          <w:sz w:val="19"/>
        </w:rPr>
        <w:t>Use the organization's licensed copy of the applicable standards when confirming detailed requirements. This toolkit paraphrases requirements and does not reproduce ISO standard text.</w:t>
      </w:r>
    </w:p>
    <w:p>
      <w:pPr>
        <w:pStyle w:val="Heading1"/>
      </w:pPr>
      <w: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136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Version</w:t>
            </w:r>
          </w:p>
        </w:tc>
        <w:tc>
          <w:tcPr>
            <w:tcW w:type="dxa" w:w="1928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Date</w:t>
            </w:r>
          </w:p>
        </w:tc>
        <w:tc>
          <w:tcPr>
            <w:tcW w:type="dxa" w:w="6236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Description</w:t>
            </w:r>
          </w:p>
        </w:tc>
      </w:tr>
      <w:tr>
        <w:tc>
          <w:tcPr>
            <w:tcW w:type="dxa" w:w="136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1.0</w:t>
            </w:r>
          </w:p>
        </w:tc>
        <w:tc>
          <w:tcPr>
            <w:tcW w:type="dxa" w:w="1928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2026-09-19</w:t>
            </w:r>
          </w:p>
        </w:tc>
        <w:tc>
          <w:tcPr>
            <w:tcW w:type="dxa" w:w="6236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Initial issue</w:t>
            </w:r>
          </w:p>
        </w:tc>
      </w:tr>
    </w:tbl>
    <w:p/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238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Prepared by</w:t>
            </w:r>
          </w:p>
        </w:tc>
        <w:tc>
          <w:tcPr>
            <w:tcW w:type="dxa" w:w="238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Reviewed by</w:t>
            </w:r>
          </w:p>
        </w:tc>
        <w:tc>
          <w:tcPr>
            <w:tcW w:type="dxa" w:w="238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Approved by</w:t>
            </w:r>
          </w:p>
        </w:tc>
        <w:tc>
          <w:tcPr>
            <w:tcW w:type="dxa" w:w="2381"/>
            <w:tcBorders>
              <w:top w:val="single" w:sz="4" w:color="B7C3CD"/>
              <w:left w:val="single" w:sz="4" w:color="B7C3CD"/>
              <w:bottom w:val="single" w:sz="4" w:color="B7C3CD"/>
              <w:right w:val="single" w:sz="4" w:color="B7C3CD"/>
              <w:insideH w:val="single" w:sz="4" w:color="B7C3CD"/>
              <w:insideV w:val="single" w:sz="4" w:color="B7C3CD"/>
            </w:tcBorders>
            <w:shd w:fill="D9EAF7" w:val="clear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>
            <w:pPr>
              <w:jc w:val="center"/>
            </w:pPr>
            <w:r>
              <w:rPr>
                <w:rFonts w:ascii="Cambria" w:hAnsi="Cambria" w:eastAsia="Cambria"/>
                <w:b/>
                <w:i w:val="0"/>
                <w:color w:val="000000"/>
                <w:sz w:val="17"/>
              </w:rPr>
              <w:t>Date</w:t>
            </w:r>
          </w:p>
        </w:tc>
      </w:tr>
      <w:tr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[PREPARED BY]</w:t>
            </w:r>
          </w:p>
        </w:tc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[REVIEWED BY]</w:t>
            </w:r>
          </w:p>
        </w:tc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[APPROVER]</w:t>
            </w:r>
          </w:p>
        </w:tc>
        <w:tc>
          <w:tcPr>
            <w:tcW w:type="dxa" w:w="2381"/>
            <w:tcBorders>
              <w:top w:val="single" w:sz="3" w:color="D2D8DD"/>
              <w:left w:val="single" w:sz="3" w:color="D2D8DD"/>
              <w:bottom w:val="single" w:sz="3" w:color="D2D8DD"/>
              <w:right w:val="single" w:sz="3" w:color="D2D8DD"/>
              <w:insideH w:val="single" w:sz="3" w:color="D2D8DD"/>
              <w:insideV w:val="single" w:sz="3" w:color="D2D8DD"/>
            </w:tcBorders>
            <w:tcMar>
              <w:top w:w="70" w:type="dxa"/>
              <w:left w:w="80" w:type="dxa"/>
              <w:bottom w:w="70" w:type="dxa"/>
              <w:right w:w="80" w:type="dxa"/>
            </w:tcMar>
            <w:vAlign w:val="top"/>
          </w:tcPr>
          <w:p>
            <w:pPr>
              <w:spacing w:after="20"/>
            </w:pPr>
            <w:r>
              <w:rPr>
                <w:rFonts w:ascii="Cambria" w:hAnsi="Cambria" w:eastAsia="Cambria"/>
                <w:b w:val="0"/>
                <w:i w:val="0"/>
                <w:color w:val="000000"/>
                <w:sz w:val="18"/>
              </w:rPr>
              <w:t>[DATE]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>
    <w:pPr>
      <w:pStyle w:val="Footer"/>
      <w:jc w:val="center"/>
    </w:pPr>
    <w:r>
      <w:rPr>
        <w:rFonts w:ascii="Cambria" w:hAnsi="Cambria" w:eastAsia="Cambria"/>
        <w:b w:val="0"/>
        <w:i w:val="0"/>
        <w:color w:val="7F7F7F"/>
        <w:sz w:val="16"/>
      </w:rPr>
      <w:t xml:space="preserve">ISO TOOLKITS DOCUMENT | www.iso-toolkits.org | info@iso-toolkits.org | Page </w:t>
    </w:r>
    <w:r>
      <w:rPr>
        <w:rFonts w:ascii="Cambria" w:hAnsi="Cambria" w:eastAsia="Cambria"/>
        <w:b w:val="0"/>
        <w:i w:val="0"/>
        <w:color w:val="7F7F7F"/>
        <w:sz w:val="16"/>
      </w:rPr>
      <w:fldChar w:fldCharType="begin"/>
      <w:instrText xml:space="preserve">PAGE</w:instrText>
      <w:fldChar w:fldCharType="end"/>
    </w:r>
    <w:r>
      <w:rPr>
        <w:rFonts w:ascii="Cambria" w:hAnsi="Cambria" w:eastAsia="Cambria"/>
        <w:b w:val="0"/>
        <w:i w:val="0"/>
        <w:color w:val="7F7F7F"/>
        <w:sz w:val="16"/>
      </w:rPr>
      <w:t xml:space="preserve"> of </w:t>
    </w:r>
    <w:r>
      <w:rPr>
        <w:rFonts w:ascii="Cambria" w:hAnsi="Cambria" w:eastAsia="Cambria"/>
        <w:b w:val="0"/>
        <w:i w:val="0"/>
        <w:color w:val="7F7F7F"/>
        <w:sz w:val="16"/>
      </w:rP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928"/>
          <w:tcBorders>
            <w:top w:val="single" w:sz="2" w:color="D9E1E8"/>
            <w:left w:val="single" w:sz="2" w:color="D9E1E8"/>
            <w:bottom w:val="single" w:sz="2" w:color="D9E1E8"/>
            <w:right w:val="single" w:sz="2" w:color="D9E1E8"/>
            <w:insideH w:val="single" w:sz="2" w:color="D9E1E8"/>
            <w:insideV w:val="single" w:sz="2" w:color="D9E1E8"/>
          </w:tcBorders>
          <w:tcMar>
            <w:top w:w="40" w:type="dxa"/>
            <w:left w:w="55" w:type="dxa"/>
            <w:bottom w:w="40" w:type="dxa"/>
            <w:right w:w="55" w:type="dxa"/>
          </w:tcMar>
        </w:tcPr>
        <w:p>
          <w:pPr>
            <w:jc w:val="left"/>
          </w:pPr>
          <w:r>
            <w:rPr>
              <w:rFonts w:ascii="Cambria" w:hAnsi="Cambria" w:eastAsia="Cambria"/>
              <w:b w:val="0"/>
              <w:i w:val="0"/>
              <w:color w:val="7F7F7F"/>
              <w:sz w:val="16"/>
            </w:rPr>
            <w:t>ORGANIZATION LOGO</w:t>
          </w:r>
        </w:p>
      </w:tc>
      <w:tc>
        <w:tcPr>
          <w:tcW w:type="dxa" w:w="4989"/>
          <w:tcBorders>
            <w:top w:val="single" w:sz="2" w:color="D9E1E8"/>
            <w:left w:val="single" w:sz="2" w:color="D9E1E8"/>
            <w:bottom w:val="single" w:sz="2" w:color="D9E1E8"/>
            <w:right w:val="single" w:sz="2" w:color="D9E1E8"/>
            <w:insideH w:val="single" w:sz="2" w:color="D9E1E8"/>
            <w:insideV w:val="single" w:sz="2" w:color="D9E1E8"/>
          </w:tcBorders>
          <w:tcMar>
            <w:top w:w="40" w:type="dxa"/>
            <w:left w:w="55" w:type="dxa"/>
            <w:bottom w:w="40" w:type="dxa"/>
            <w:right w:w="55" w:type="dxa"/>
          </w:tcMar>
        </w:tcPr>
        <w:p>
          <w:pPr>
            <w:jc w:val="center"/>
          </w:pPr>
          <w:r>
            <w:rPr>
              <w:rFonts w:ascii="Cambria" w:hAnsi="Cambria" w:eastAsia="Cambria"/>
              <w:b w:val="0"/>
              <w:i w:val="0"/>
              <w:color w:val="1F4E79"/>
              <w:sz w:val="16"/>
            </w:rPr>
            <w:t>[ORGANIZATION NAME]</w:t>
          </w:r>
          <w:r>
            <w:rPr>
              <w:rFonts w:ascii="Cambria" w:hAnsi="Cambria" w:eastAsia="Cambria"/>
              <w:b/>
              <w:i w:val="0"/>
              <w:color w:val="1F4E79"/>
              <w:sz w:val="16"/>
            </w:rPr>
            <w:br/>
            <w:t>Energy Management Review Guidance</w:t>
          </w:r>
        </w:p>
      </w:tc>
      <w:tc>
        <w:tcPr>
          <w:tcW w:type="dxa" w:w="2438"/>
          <w:tcBorders>
            <w:top w:val="single" w:sz="2" w:color="D9E1E8"/>
            <w:left w:val="single" w:sz="2" w:color="D9E1E8"/>
            <w:bottom w:val="single" w:sz="2" w:color="D9E1E8"/>
            <w:right w:val="single" w:sz="2" w:color="D9E1E8"/>
            <w:insideH w:val="single" w:sz="2" w:color="D9E1E8"/>
            <w:insideV w:val="single" w:sz="2" w:color="D9E1E8"/>
          </w:tcBorders>
          <w:tcMar>
            <w:top w:w="40" w:type="dxa"/>
            <w:left w:w="55" w:type="dxa"/>
            <w:bottom w:w="40" w:type="dxa"/>
            <w:right w:w="55" w:type="dxa"/>
          </w:tcMar>
        </w:tcPr>
        <w:p>
          <w:pPr>
            <w:jc w:val="right"/>
          </w:pPr>
          <w:r>
            <w:rPr>
              <w:rFonts w:ascii="Cambria" w:hAnsi="Cambria" w:eastAsia="Cambria"/>
              <w:b w:val="0"/>
              <w:i w:val="0"/>
              <w:color w:val="7F7F7F"/>
              <w:sz w:val="16"/>
            </w:rPr>
            <w:t>EnMS-MAN-003</w:t>
          </w:r>
          <w:r>
            <w:rPr>
              <w:rFonts w:ascii="Cambria" w:hAnsi="Cambria" w:eastAsia="Cambria"/>
              <w:b w:val="0"/>
              <w:i w:val="0"/>
              <w:color w:val="7F7F7F"/>
              <w:sz w:val="16"/>
            </w:rPr>
            <w:br/>
            <w:t>Version 1.0</w:t>
          </w:r>
          <w:r>
            <w:rPr>
              <w:rFonts w:ascii="Cambria" w:hAnsi="Cambria" w:eastAsia="Cambria"/>
              <w:b w:val="0"/>
              <w:i w:val="0"/>
              <w:color w:val="7F7F7F"/>
              <w:sz w:val="16"/>
            </w:rPr>
            <w:br/>
            <w:t>Effective: 2026-09-19</w:t>
          </w:r>
        </w:p>
      </w:tc>
    </w:tr>
  </w:tbl>
</w:hdr>
</file>

<file path=word/numbering.xml><?xml version="1.0" encoding="utf-8"?>
<w:numbering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lef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lef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lef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lef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lef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lef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lef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lef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lef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4" w:lineRule="auto"/>
    </w:pPr>
    <w:rPr>
      <w:rFonts w:ascii="Cambria" w:hAnsi="Cambr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ambria" w:hAnsi="Cambria"/>
      <w:b/>
      <w:bCs/>
      <w:color w:val="1F4E79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80"/>
      <w:outlineLvl w:val="2"/>
    </w:pPr>
    <w:rPr>
      <w:rFonts w:asciiTheme="majorHAnsi" w:eastAsiaTheme="majorEastAsia" w:hAnsiTheme="majorHAnsi" w:cstheme="majorBidi" w:ascii="Cambria" w:hAnsi="Cambria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60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Text">
    <w:name w:val="Small Text"/>
    <w:pPr>
      <w:spacing w:after="40"/>
    </w:pPr>
    <w:rPr>
      <w:rFonts w:ascii="Cambria" w:hAnsi="Cambri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Energy Management Review Guidance</dc:title>
  <dc:subject>Practical guidance for effective ISO 50001 energy management reviews</dc:subject>
  <dc:creator>ISO Toolkits</dc:creator>
  <cp:keywords>ISO 50001, EnMS, energy management, ISO Toolkits</cp:keywords>
  <dc:description>Professional ISO 50001 implementation toolkit document.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