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spacing w:before="1100" w:after="240"/>
        <w:jc w:val="center"/>
      </w:pPr>
      <w:r>
        <w:rPr>
          <w:rFonts w:ascii="Cambria" w:hAnsi="Cambria" w:eastAsia="Cambria" w:cs="Cambria"/>
          <w:b/>
          <w:i w:val="0"/>
          <w:color w:val="1F4E79"/>
          <w:sz w:val="42"/>
        </w:rPr>
        <w:t>Energy Management Manual</w:t>
      </w:r>
    </w:p>
    <w:p>
      <w:pPr>
        <w:spacing w:after="560"/>
        <w:jc w:val="center"/>
      </w:pPr>
      <w:r>
        <w:rPr>
          <w:rFonts w:ascii="Cambria" w:hAnsi="Cambria" w:eastAsia="Cambria" w:cs="Cambria"/>
          <w:b w:val="0"/>
          <w:i w:val="0"/>
          <w:color w:val="555555"/>
          <w:sz w:val="22"/>
        </w:rPr>
        <w:t>Energy Management System Framework</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118"/>
        <w:gridCol w:w="5386"/>
      </w:tblGrid>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Code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EnMS-MAN-001</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Version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1.0</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Effective Date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2026-09-19</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Classification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INTERNAL</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Owner</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Energy Manager</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Approved By</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[APPROVER]</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Applicable Standard</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ISO 50001:2018 + Amendment 1:2024</w:t>
            </w:r>
          </w:p>
        </w:tc>
      </w:tr>
    </w:tbl>
    <w:p>
      <w:pPr>
        <w:spacing w:before="480"/>
        <w:jc w:val="center"/>
      </w:pPr>
      <w:r>
        <w:rPr>
          <w:rFonts w:ascii="Cambria" w:hAnsi="Cambria" w:eastAsia="Cambria" w:cs="Cambria"/>
          <w:b/>
          <w:i w:val="0"/>
          <w:color w:val="1F4E79"/>
          <w:sz w:val="19"/>
        </w:rPr>
        <w:t>ISO TOOLKITS DOCUMENT</w:t>
      </w:r>
    </w:p>
    <w:p>
      <w:pPr>
        <w:jc w:val="center"/>
      </w:pPr>
      <w:r>
        <w:rPr>
          <w:rFonts w:ascii="Cambria" w:hAnsi="Cambria" w:eastAsia="Cambria" w:cs="Cambria"/>
          <w:b w:val="0"/>
          <w:i w:val="0"/>
          <w:color w:val="666666"/>
          <w:sz w:val="17"/>
        </w:rPr>
        <w:t>Website: www.iso-toolkits.org | Email: info@iso-toolkits.org</w:t>
      </w:r>
    </w:p>
    <w:p>
      <w:r>
        <w:br w:type="page"/>
      </w:r>
    </w:p>
    <w:p>
      <w:pPr>
        <w:pStyle w:val="Heading1"/>
        <w:keepNext w:val="1"/>
      </w:pPr>
      <w:r>
        <w:rPr>
          <w:rFonts w:ascii="Cambria" w:hAnsi="Cambria" w:eastAsia="Cambria" w:cs="Cambria"/>
          <w:b/>
          <w:i w:val="0"/>
          <w:color w:val="1F4E79"/>
          <w:sz w:val="26"/>
        </w:rPr>
        <w:t>1. Purpose and Use of This Manual</w:t>
      </w:r>
    </w:p>
    <w:p>
      <w:pPr>
        <w:spacing w:before="0" w:after="80" w:line="252" w:lineRule="auto"/>
      </w:pPr>
      <w:r>
        <w:rPr>
          <w:rFonts w:ascii="Cambria" w:hAnsi="Cambria" w:eastAsia="Cambria" w:cs="Cambria"/>
          <w:b w:val="0"/>
          <w:i w:val="0"/>
          <w:color w:val="000000"/>
          <w:sz w:val="21"/>
        </w:rPr>
        <w:t>This manual describes the framework by which [ORGANIZATION NAME] establishes, operates, maintains and continually improves its Energy Management System (EnMS). It provides a controlled overview of the organization’s EnMS processes and the relationships between leadership, energy planning, operational controls, performance evaluation and improvement.</w:t>
      </w:r>
    </w:p>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Replace organization-specific placeholders and confirm the actual EnMS scope, boundaries, roles, energy sources and controls before controlled release.</w:t>
            </w:r>
          </w:p>
        </w:tc>
      </w:tr>
    </w:tbl>
    <w:p>
      <w:pPr>
        <w:pStyle w:val="Heading1"/>
        <w:keepNext w:val="1"/>
      </w:pPr>
      <w:r>
        <w:rPr>
          <w:rFonts w:ascii="Cambria" w:hAnsi="Cambria" w:eastAsia="Cambria" w:cs="Cambria"/>
          <w:b/>
          <w:i w:val="0"/>
          <w:color w:val="1F4E79"/>
          <w:sz w:val="26"/>
        </w:rPr>
        <w:t>2. Energy Management System Scope and Boundaries</w:t>
      </w:r>
    </w:p>
    <w:p>
      <w:pPr>
        <w:spacing w:before="0" w:after="80" w:line="252" w:lineRule="auto"/>
      </w:pPr>
      <w:r>
        <w:rPr>
          <w:rFonts w:ascii="Cambria" w:hAnsi="Cambria" w:eastAsia="Cambria" w:cs="Cambria"/>
          <w:b w:val="0"/>
          <w:i w:val="0"/>
          <w:color w:val="000000"/>
          <w:sz w:val="21"/>
        </w:rPr>
        <w:t>The controlled EnMS scope shall identify the organizational activities, facilities, assets, processes and locations included in the system and the physical/organizational boundaries used for energy data and performance evaluation. The approved scope is maintained as a controlled statement and reviewed after significant organizational or operational change.</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311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Scope Field</w:t>
            </w:r>
          </w:p>
        </w:tc>
        <w:tc>
          <w:tcPr>
            <w:tcW w:type="dxa" w:w="6236"/>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Controlled Information</w:t>
            </w:r>
          </w:p>
        </w:tc>
      </w:tr>
      <w:tr>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Organization / Legal Entity</w:t>
            </w:r>
          </w:p>
        </w:tc>
        <w:tc>
          <w:tcPr>
            <w:tcW w:type="dxa" w:w="623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[ORGANIZATION NAME]</w:t>
            </w:r>
          </w:p>
        </w:tc>
      </w:tr>
      <w:tr>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Sites / Facilities Included</w:t>
            </w:r>
          </w:p>
        </w:tc>
        <w:tc>
          <w:tcPr>
            <w:tcW w:type="dxa" w:w="623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[DEFINE SITES / FACILITIES]</w:t>
            </w:r>
          </w:p>
        </w:tc>
      </w:tr>
      <w:tr>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Activities / Processes Included</w:t>
            </w:r>
          </w:p>
        </w:tc>
        <w:tc>
          <w:tcPr>
            <w:tcW w:type="dxa" w:w="623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[DEFINE ACTIVITIES / PROCESSES]</w:t>
            </w:r>
          </w:p>
        </w:tc>
      </w:tr>
      <w:tr>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Energy Types in Scope</w:t>
            </w:r>
          </w:p>
        </w:tc>
        <w:tc>
          <w:tcPr>
            <w:tcW w:type="dxa" w:w="623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[ELECTRICITY / GAS / STEAM / FUELS / OTHER]</w:t>
            </w:r>
          </w:p>
        </w:tc>
      </w:tr>
      <w:tr>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Shared Utilities / Leased Areas</w:t>
            </w:r>
          </w:p>
        </w:tc>
        <w:tc>
          <w:tcPr>
            <w:tcW w:type="dxa" w:w="623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[DEFINE TREATMENT]</w:t>
            </w:r>
          </w:p>
        </w:tc>
      </w:tr>
      <w:tr>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EnMS Boundaries</w:t>
            </w:r>
          </w:p>
        </w:tc>
        <w:tc>
          <w:tcPr>
            <w:tcW w:type="dxa" w:w="623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[DEFINE PHYSICAL AND ORGANIZATIONAL BOUNDARIES]</w:t>
            </w:r>
          </w:p>
        </w:tc>
      </w:tr>
      <w:tr>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Scope Approval</w:t>
            </w:r>
          </w:p>
        </w:tc>
        <w:tc>
          <w:tcPr>
            <w:tcW w:type="dxa" w:w="623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[APPROVER / DATE]</w:t>
            </w:r>
          </w:p>
        </w:tc>
      </w:tr>
    </w:tbl>
    <w:p>
      <w:pPr>
        <w:pStyle w:val="Heading1"/>
        <w:keepNext w:val="1"/>
      </w:pPr>
      <w:r>
        <w:rPr>
          <w:rFonts w:ascii="Cambria" w:hAnsi="Cambria" w:eastAsia="Cambria" w:cs="Cambria"/>
          <w:b/>
          <w:i w:val="0"/>
          <w:color w:val="1F4E79"/>
          <w:sz w:val="26"/>
        </w:rPr>
        <w:t>3. Context and Interested Parties</w:t>
      </w:r>
    </w:p>
    <w:p>
      <w:pPr>
        <w:pStyle w:val="Heading2"/>
        <w:keepNext w:val="1"/>
      </w:pPr>
      <w:r>
        <w:rPr>
          <w:rFonts w:ascii="Cambria" w:hAnsi="Cambria" w:eastAsia="Cambria" w:cs="Cambria"/>
          <w:b/>
          <w:i w:val="0"/>
          <w:color w:val="000000"/>
          <w:sz w:val="23"/>
        </w:rPr>
        <w:t>3.1 Organizational Context</w:t>
      </w:r>
    </w:p>
    <w:p>
      <w:pPr>
        <w:spacing w:before="0" w:after="80" w:line="252" w:lineRule="auto"/>
      </w:pPr>
      <w:r>
        <w:rPr>
          <w:rFonts w:ascii="Cambria" w:hAnsi="Cambria" w:eastAsia="Cambria" w:cs="Cambria"/>
          <w:b w:val="0"/>
          <w:i w:val="0"/>
          <w:color w:val="000000"/>
          <w:sz w:val="21"/>
        </w:rPr>
        <w:t>The organization identifies internal and external issues that can affect the EnMS and its ability to achieve intended outcomes. The review considers business strategy, energy availability and cost, technology, asset condition, production changes, climate-related issues where relevant, regulatory conditions, market/customer expectations and other material factors.</w:t>
      </w:r>
    </w:p>
    <w:p>
      <w:pPr>
        <w:pStyle w:val="Heading2"/>
        <w:keepNext w:val="1"/>
      </w:pPr>
      <w:r>
        <w:rPr>
          <w:rFonts w:ascii="Cambria" w:hAnsi="Cambria" w:eastAsia="Cambria" w:cs="Cambria"/>
          <w:b/>
          <w:i w:val="0"/>
          <w:color w:val="000000"/>
          <w:sz w:val="23"/>
        </w:rPr>
        <w:t>3.2 Interested Parties and Requirements</w:t>
      </w:r>
    </w:p>
    <w:p>
      <w:pPr>
        <w:spacing w:before="0" w:after="80" w:line="252" w:lineRule="auto"/>
      </w:pPr>
      <w:r>
        <w:rPr>
          <w:rFonts w:ascii="Cambria" w:hAnsi="Cambria" w:eastAsia="Cambria" w:cs="Cambria"/>
          <w:b w:val="0"/>
          <w:i w:val="0"/>
          <w:color w:val="000000"/>
          <w:sz w:val="21"/>
        </w:rPr>
        <w:t>Relevant interested parties and their requirements are maintained in a controlled register. Requirements are reviewed when contracts, regulations, customer expectations, corporate commitments or operating conditions change. The organization determines which requirements are addressed through the EnMS and retains evidence of applicable compliance or contractual controls.</w:t>
      </w:r>
    </w:p>
    <w:p>
      <w:pPr>
        <w:pStyle w:val="Heading1"/>
        <w:keepNext w:val="1"/>
      </w:pPr>
      <w:r>
        <w:rPr>
          <w:rFonts w:ascii="Cambria" w:hAnsi="Cambria" w:eastAsia="Cambria" w:cs="Cambria"/>
          <w:b/>
          <w:i w:val="0"/>
          <w:color w:val="1F4E79"/>
          <w:sz w:val="26"/>
        </w:rPr>
        <w:t>4. Leadership and Governance</w:t>
      </w:r>
    </w:p>
    <w:p>
      <w:pPr>
        <w:pStyle w:val="Heading2"/>
        <w:keepNext w:val="1"/>
      </w:pPr>
      <w:r>
        <w:rPr>
          <w:rFonts w:ascii="Cambria" w:hAnsi="Cambria" w:eastAsia="Cambria" w:cs="Cambria"/>
          <w:b/>
          <w:i w:val="0"/>
          <w:color w:val="000000"/>
          <w:sz w:val="23"/>
        </w:rPr>
        <w:t>4.1 Top Management</w:t>
      </w:r>
    </w:p>
    <w:p>
      <w:pPr>
        <w:spacing w:after="40"/>
        <w:ind w:left="283" w:hanging="170"/>
      </w:pPr>
      <w:r>
        <w:rPr>
          <w:rFonts w:ascii="Cambria" w:hAnsi="Cambria" w:eastAsia="Cambria" w:cs="Cambria"/>
          <w:b w:val="0"/>
          <w:i w:val="0"/>
          <w:color w:val="000000"/>
          <w:sz w:val="20"/>
        </w:rPr>
        <w:t>• Align the EnMS with strategic direction and business priorities.</w:t>
      </w:r>
    </w:p>
    <w:p>
      <w:pPr>
        <w:spacing w:after="40"/>
        <w:ind w:left="283" w:hanging="170"/>
      </w:pPr>
      <w:r>
        <w:rPr>
          <w:rFonts w:ascii="Cambria" w:hAnsi="Cambria" w:eastAsia="Cambria" w:cs="Cambria"/>
          <w:b w:val="0"/>
          <w:i w:val="0"/>
          <w:color w:val="000000"/>
          <w:sz w:val="20"/>
        </w:rPr>
        <w:t>• Approve the energy policy and ensure energy objectives support improvement in energy performance.</w:t>
      </w:r>
    </w:p>
    <w:p>
      <w:pPr>
        <w:spacing w:after="40"/>
        <w:ind w:left="283" w:hanging="170"/>
      </w:pPr>
      <w:r>
        <w:rPr>
          <w:rFonts w:ascii="Cambria" w:hAnsi="Cambria" w:eastAsia="Cambria" w:cs="Cambria"/>
          <w:b w:val="0"/>
          <w:i w:val="0"/>
          <w:color w:val="000000"/>
          <w:sz w:val="20"/>
        </w:rPr>
        <w:t>• Provide resources, information and organizational support needed for the EnMS.</w:t>
      </w:r>
    </w:p>
    <w:p>
      <w:pPr>
        <w:spacing w:after="40"/>
        <w:ind w:left="283" w:hanging="170"/>
      </w:pPr>
      <w:r>
        <w:rPr>
          <w:rFonts w:ascii="Cambria" w:hAnsi="Cambria" w:eastAsia="Cambria" w:cs="Cambria"/>
          <w:b w:val="0"/>
          <w:i w:val="0"/>
          <w:color w:val="000000"/>
          <w:sz w:val="20"/>
        </w:rPr>
        <w:t>• Ensure EnMS responsibilities are assigned and relevant processes are integrated into normal business management.</w:t>
      </w:r>
    </w:p>
    <w:p>
      <w:pPr>
        <w:spacing w:after="40"/>
        <w:ind w:left="283" w:hanging="170"/>
      </w:pPr>
      <w:r>
        <w:rPr>
          <w:rFonts w:ascii="Cambria" w:hAnsi="Cambria" w:eastAsia="Cambria" w:cs="Cambria"/>
          <w:b w:val="0"/>
          <w:i w:val="0"/>
          <w:color w:val="000000"/>
          <w:sz w:val="20"/>
        </w:rPr>
        <w:t>• Review EnMS performance and support continual improvement.</w:t>
      </w:r>
    </w:p>
    <w:p>
      <w:pPr>
        <w:pStyle w:val="Heading2"/>
        <w:keepNext w:val="1"/>
      </w:pPr>
      <w:r>
        <w:rPr>
          <w:rFonts w:ascii="Cambria" w:hAnsi="Cambria" w:eastAsia="Cambria" w:cs="Cambria"/>
          <w:b/>
          <w:i w:val="0"/>
          <w:color w:val="000000"/>
          <w:sz w:val="23"/>
        </w:rPr>
        <w:t>4.2 Energy Manager and Energy Team</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55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Role</w:t>
            </w:r>
          </w:p>
        </w:tc>
        <w:tc>
          <w:tcPr>
            <w:tcW w:type="dxa" w:w="6803"/>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Key Accountability</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Energy Manager</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Coordinate the EnMS, maintain core planning processes, report performance and escalate system or energy-performance issues.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Energy Team</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Provide cross-functional input to energy review, SEU control, EnPI/baseline development, objectives and improvement opportunities.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SEU / Process Owners</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Maintain operating criteria, monitor relevant variables, implement actions and provide evidence for assigned areas.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Energy Analyst</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Maintain data analysis, EnPIs, baselines, normalization logic and energy-performance reporting.</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Document Controller</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Maintain controlled documented information and revision status.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Internal Audit Lead</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Maintain the internal audit programme, competence and objective audit evidence.</w:t>
            </w:r>
          </w:p>
        </w:tc>
      </w:tr>
    </w:tbl>
    <w:p>
      <w:pPr>
        <w:pStyle w:val="Heading1"/>
        <w:keepNext w:val="1"/>
      </w:pPr>
      <w:r>
        <w:rPr>
          <w:rFonts w:ascii="Cambria" w:hAnsi="Cambria" w:eastAsia="Cambria" w:cs="Cambria"/>
          <w:b/>
          <w:i w:val="0"/>
          <w:color w:val="1F4E79"/>
          <w:sz w:val="26"/>
        </w:rPr>
        <w:t>5. Energy Policy</w:t>
      </w:r>
    </w:p>
    <w:p>
      <w:pPr>
        <w:spacing w:before="0" w:after="80" w:line="252" w:lineRule="auto"/>
      </w:pPr>
      <w:r>
        <w:rPr>
          <w:rFonts w:ascii="Cambria" w:hAnsi="Cambria" w:eastAsia="Cambria" w:cs="Cambria"/>
          <w:b w:val="0"/>
          <w:i w:val="0"/>
          <w:color w:val="000000"/>
          <w:sz w:val="21"/>
        </w:rPr>
        <w:t>The organization maintains an approved energy policy appropriate to its purpose and energy use. The policy provides direction for setting energy objectives, supports availability of information and resources, addresses applicable requirements, supports procurement and design decisions where energy performance is affected, and commits the organization to continual improvement of both the EnMS and energy performance.</w:t>
      </w:r>
    </w:p>
    <w:p>
      <w:pPr>
        <w:spacing w:before="0" w:after="80" w:line="252" w:lineRule="auto"/>
      </w:pPr>
      <w:r>
        <w:rPr>
          <w:rFonts w:ascii="Cambria" w:hAnsi="Cambria" w:eastAsia="Cambria" w:cs="Cambria"/>
          <w:b w:val="0"/>
          <w:i w:val="0"/>
          <w:color w:val="000000"/>
          <w:sz w:val="21"/>
        </w:rPr>
        <w:t>The policy is communicated to persons whose work can affect the EnMS and is made available to relevant interested parties as determined by the organization. It is reviewed for continuing suitability during management review or significant change.</w:t>
      </w:r>
    </w:p>
    <w:p>
      <w:pPr>
        <w:pStyle w:val="Heading1"/>
        <w:keepNext w:val="1"/>
      </w:pPr>
      <w:r>
        <w:rPr>
          <w:rFonts w:ascii="Cambria" w:hAnsi="Cambria" w:eastAsia="Cambria" w:cs="Cambria"/>
          <w:b/>
          <w:i w:val="0"/>
          <w:color w:val="1F4E79"/>
          <w:sz w:val="26"/>
        </w:rPr>
        <w:t>6. Planning</w:t>
      </w:r>
    </w:p>
    <w:p>
      <w:pPr>
        <w:pStyle w:val="Heading2"/>
        <w:keepNext w:val="1"/>
      </w:pPr>
      <w:r>
        <w:rPr>
          <w:rFonts w:ascii="Cambria" w:hAnsi="Cambria" w:eastAsia="Cambria" w:cs="Cambria"/>
          <w:b/>
          <w:i w:val="0"/>
          <w:color w:val="000000"/>
          <w:sz w:val="23"/>
        </w:rPr>
        <w:t>6.1 Risks and Opportunities</w:t>
      </w:r>
    </w:p>
    <w:p>
      <w:pPr>
        <w:spacing w:before="0" w:after="80" w:line="252" w:lineRule="auto"/>
      </w:pPr>
      <w:r>
        <w:rPr>
          <w:rFonts w:ascii="Cambria" w:hAnsi="Cambria" w:eastAsia="Cambria" w:cs="Cambria"/>
          <w:b w:val="0"/>
          <w:i w:val="0"/>
          <w:color w:val="000000"/>
          <w:sz w:val="21"/>
        </w:rPr>
        <w:t>The organization identifies relevant risks and opportunities arising from context, interested-party requirements and EnMS processes. Planned actions are proportionate to their potential effect on intended EnMS outcomes and are integrated into business or EnMS processes where practical.</w:t>
      </w:r>
    </w:p>
    <w:p>
      <w:pPr>
        <w:pStyle w:val="Heading2"/>
        <w:keepNext w:val="1"/>
      </w:pPr>
      <w:r>
        <w:rPr>
          <w:rFonts w:ascii="Cambria" w:hAnsi="Cambria" w:eastAsia="Cambria" w:cs="Cambria"/>
          <w:b/>
          <w:i w:val="0"/>
          <w:color w:val="000000"/>
          <w:sz w:val="23"/>
        </w:rPr>
        <w:t>6.2 Energy Review</w:t>
      </w:r>
    </w:p>
    <w:p>
      <w:pPr>
        <w:spacing w:before="0" w:after="80" w:line="252" w:lineRule="auto"/>
      </w:pPr>
      <w:r>
        <w:rPr>
          <w:rFonts w:ascii="Cambria" w:hAnsi="Cambria" w:eastAsia="Cambria" w:cs="Cambria"/>
          <w:b w:val="0"/>
          <w:i w:val="0"/>
          <w:color w:val="000000"/>
          <w:sz w:val="21"/>
        </w:rPr>
        <w:t>The energy review is a controlled analytical process that evaluates energy use and consumption using available measured and other relevant data. It identifies significant energy uses, relevant variables, persons affecting SEU performance, current performance and energy performance improvement opportunities. The review is updated after significant changes in facilities, equipment, systems, processes or other factors that materially affect energy performance.</w:t>
      </w:r>
    </w:p>
    <w:p>
      <w:pPr>
        <w:pStyle w:val="Heading2"/>
        <w:keepNext w:val="1"/>
      </w:pPr>
      <w:r>
        <w:rPr>
          <w:rFonts w:ascii="Cambria" w:hAnsi="Cambria" w:eastAsia="Cambria" w:cs="Cambria"/>
          <w:b/>
          <w:i w:val="0"/>
          <w:color w:val="000000"/>
          <w:sz w:val="23"/>
        </w:rPr>
        <w:t>6.3 Significant Energy Uses</w:t>
      </w:r>
    </w:p>
    <w:p>
      <w:pPr>
        <w:spacing w:before="0" w:after="80" w:line="252" w:lineRule="auto"/>
      </w:pPr>
      <w:r>
        <w:rPr>
          <w:rFonts w:ascii="Cambria" w:hAnsi="Cambria" w:eastAsia="Cambria" w:cs="Cambria"/>
          <w:b w:val="0"/>
          <w:i w:val="0"/>
          <w:color w:val="000000"/>
          <w:sz w:val="21"/>
        </w:rPr>
        <w:t>Significant energy uses are identified using defined criteria that reflect the organization’s energy profile and improvement priorities. Criteria and results are documented so that the assessment can be repeated. SEU owners maintain operational and maintenance controls that support stable and improving energy performance.</w:t>
      </w:r>
    </w:p>
    <w:p>
      <w:pPr>
        <w:pStyle w:val="Heading2"/>
        <w:keepNext w:val="1"/>
      </w:pPr>
      <w:r>
        <w:rPr>
          <w:rFonts w:ascii="Cambria" w:hAnsi="Cambria" w:eastAsia="Cambria" w:cs="Cambria"/>
          <w:b/>
          <w:i w:val="0"/>
          <w:color w:val="000000"/>
          <w:sz w:val="23"/>
        </w:rPr>
        <w:t>6.4 Energy Performance Indicators</w:t>
      </w:r>
    </w:p>
    <w:p>
      <w:pPr>
        <w:spacing w:before="0" w:after="80" w:line="252" w:lineRule="auto"/>
      </w:pPr>
      <w:r>
        <w:rPr>
          <w:rFonts w:ascii="Cambria" w:hAnsi="Cambria" w:eastAsia="Cambria" w:cs="Cambria"/>
          <w:b w:val="0"/>
          <w:i w:val="0"/>
          <w:color w:val="000000"/>
          <w:sz w:val="21"/>
        </w:rPr>
        <w:t>EnPIs are selected to provide meaningful, repeatable evaluation of energy performance at organizational and relevant SEU levels. Definitions include scope, unit, data source, calculation method, performance direction, owner and review frequency. Relevant variables are incorporated when they materially affect interpretation of energy performance.</w:t>
      </w:r>
    </w:p>
    <w:p>
      <w:pPr>
        <w:pStyle w:val="Heading2"/>
        <w:keepNext w:val="1"/>
      </w:pPr>
      <w:r>
        <w:rPr>
          <w:rFonts w:ascii="Cambria" w:hAnsi="Cambria" w:eastAsia="Cambria" w:cs="Cambria"/>
          <w:b/>
          <w:i w:val="0"/>
          <w:color w:val="000000"/>
          <w:sz w:val="23"/>
        </w:rPr>
        <w:t>6.5 Energy Baselines</w:t>
      </w:r>
    </w:p>
    <w:p>
      <w:pPr>
        <w:spacing w:before="0" w:after="80" w:line="252" w:lineRule="auto"/>
      </w:pPr>
      <w:r>
        <w:rPr>
          <w:rFonts w:ascii="Cambria" w:hAnsi="Cambria" w:eastAsia="Cambria" w:cs="Cambria"/>
          <w:b w:val="0"/>
          <w:i w:val="0"/>
          <w:color w:val="000000"/>
          <w:sz w:val="21"/>
        </w:rPr>
        <w:t>Energy baselines are established from representative data and are aligned with the associated EnPI. Baseline adjustment or re-establishment criteria are documented. When a significant change occurs, the organization evaluates whether the current baseline remains representative before changing it.</w:t>
      </w:r>
    </w:p>
    <w:p>
      <w:pPr>
        <w:pStyle w:val="Heading2"/>
        <w:keepNext w:val="1"/>
      </w:pPr>
      <w:r>
        <w:rPr>
          <w:rFonts w:ascii="Cambria" w:hAnsi="Cambria" w:eastAsia="Cambria" w:cs="Cambria"/>
          <w:b/>
          <w:i w:val="0"/>
          <w:color w:val="000000"/>
          <w:sz w:val="23"/>
        </w:rPr>
        <w:t>6.6 Energy Data Collection Plan</w:t>
      </w:r>
    </w:p>
    <w:p>
      <w:pPr>
        <w:spacing w:before="0" w:after="80" w:line="252" w:lineRule="auto"/>
      </w:pPr>
      <w:r>
        <w:rPr>
          <w:rFonts w:ascii="Cambria" w:hAnsi="Cambria" w:eastAsia="Cambria" w:cs="Cambria"/>
          <w:b w:val="0"/>
          <w:i w:val="0"/>
          <w:color w:val="000000"/>
          <w:sz w:val="21"/>
        </w:rPr>
        <w:t>The energy data collection plan identifies data needed to monitor key characteristics, EnPIs, baselines and SEUs. It defines measurement points, data sources, frequency, responsibilities, data-quality controls and any required meter calibration or verification activities.</w:t>
      </w:r>
    </w:p>
    <w:p>
      <w:pPr>
        <w:pStyle w:val="Heading2"/>
        <w:keepNext w:val="1"/>
      </w:pPr>
      <w:r>
        <w:rPr>
          <w:rFonts w:ascii="Cambria" w:hAnsi="Cambria" w:eastAsia="Cambria" w:cs="Cambria"/>
          <w:b/>
          <w:i w:val="0"/>
          <w:color w:val="000000"/>
          <w:sz w:val="23"/>
        </w:rPr>
        <w:t>6.7 Objectives, Targets and Action Plans</w:t>
      </w:r>
    </w:p>
    <w:p>
      <w:pPr>
        <w:spacing w:before="0" w:after="80" w:line="252" w:lineRule="auto"/>
      </w:pPr>
      <w:r>
        <w:rPr>
          <w:rFonts w:ascii="Cambria" w:hAnsi="Cambria" w:eastAsia="Cambria" w:cs="Cambria"/>
          <w:b w:val="0"/>
          <w:i w:val="0"/>
          <w:color w:val="000000"/>
          <w:sz w:val="21"/>
        </w:rPr>
        <w:t>Energy objectives and targets are established at relevant functions and levels. Action plans define the action, accountable owner, resources, completion date, method for evaluating results and expected energy-performance outcome. Progress is reviewed at planned intervals.</w:t>
      </w:r>
    </w:p>
    <w:p>
      <w:pPr>
        <w:pStyle w:val="Heading1"/>
        <w:keepNext w:val="1"/>
      </w:pPr>
      <w:r>
        <w:rPr>
          <w:rFonts w:ascii="Cambria" w:hAnsi="Cambria" w:eastAsia="Cambria" w:cs="Cambria"/>
          <w:b/>
          <w:i w:val="0"/>
          <w:color w:val="1F4E79"/>
          <w:sz w:val="26"/>
        </w:rPr>
        <w:t>7. Support Processes</w:t>
      </w:r>
    </w:p>
    <w:p>
      <w:pPr>
        <w:pStyle w:val="Heading2"/>
        <w:keepNext w:val="1"/>
      </w:pPr>
      <w:r>
        <w:rPr>
          <w:rFonts w:ascii="Cambria" w:hAnsi="Cambria" w:eastAsia="Cambria" w:cs="Cambria"/>
          <w:b/>
          <w:i w:val="0"/>
          <w:color w:val="000000"/>
          <w:sz w:val="23"/>
        </w:rPr>
        <w:t>7.1 Resources</w:t>
      </w:r>
    </w:p>
    <w:p>
      <w:pPr>
        <w:spacing w:before="0" w:after="80" w:line="252" w:lineRule="auto"/>
      </w:pPr>
      <w:r>
        <w:rPr>
          <w:rFonts w:ascii="Cambria" w:hAnsi="Cambria" w:eastAsia="Cambria" w:cs="Cambria"/>
          <w:b w:val="0"/>
          <w:i w:val="0"/>
          <w:color w:val="000000"/>
          <w:sz w:val="21"/>
        </w:rPr>
        <w:t>The organization determines and provides resources required for effective EnMS implementation, including people, competence, technology, energy data, metering, finance and access to specialist support when needed.</w:t>
      </w:r>
    </w:p>
    <w:p>
      <w:pPr>
        <w:pStyle w:val="Heading2"/>
        <w:keepNext w:val="1"/>
      </w:pPr>
      <w:r>
        <w:rPr>
          <w:rFonts w:ascii="Cambria" w:hAnsi="Cambria" w:eastAsia="Cambria" w:cs="Cambria"/>
          <w:b/>
          <w:i w:val="0"/>
          <w:color w:val="000000"/>
          <w:sz w:val="23"/>
        </w:rPr>
        <w:t>7.2 Competence and Awareness</w:t>
      </w:r>
    </w:p>
    <w:p>
      <w:pPr>
        <w:spacing w:before="0" w:after="80" w:line="252" w:lineRule="auto"/>
      </w:pPr>
      <w:r>
        <w:rPr>
          <w:rFonts w:ascii="Cambria" w:hAnsi="Cambria" w:eastAsia="Cambria" w:cs="Cambria"/>
          <w:b w:val="0"/>
          <w:i w:val="0"/>
          <w:color w:val="000000"/>
          <w:sz w:val="21"/>
        </w:rPr>
        <w:t>Competence requirements are defined for roles that can affect energy performance or the EnMS. Evidence of education, training, experience or other competence is retained. Relevant persons are made aware of the energy policy, their contribution to EnMS effectiveness and the consequences of departing from established controls.</w:t>
      </w:r>
    </w:p>
    <w:p>
      <w:pPr>
        <w:pStyle w:val="Heading2"/>
        <w:keepNext w:val="1"/>
      </w:pPr>
      <w:r>
        <w:rPr>
          <w:rFonts w:ascii="Cambria" w:hAnsi="Cambria" w:eastAsia="Cambria" w:cs="Cambria"/>
          <w:b/>
          <w:i w:val="0"/>
          <w:color w:val="000000"/>
          <w:sz w:val="23"/>
        </w:rPr>
        <w:t>7.3 Communication</w:t>
      </w:r>
    </w:p>
    <w:p>
      <w:pPr>
        <w:spacing w:before="0" w:after="80" w:line="252" w:lineRule="auto"/>
      </w:pPr>
      <w:r>
        <w:rPr>
          <w:rFonts w:ascii="Cambria" w:hAnsi="Cambria" w:eastAsia="Cambria" w:cs="Cambria"/>
          <w:b w:val="0"/>
          <w:i w:val="0"/>
          <w:color w:val="000000"/>
          <w:sz w:val="21"/>
        </w:rPr>
        <w:t>Internal and external EnMS communication requirements define what will be communicated, when, to whom, by whom and through which channel. Suggestions or improvement ideas from personnel are encouraged through defined organizational mechanisms.</w:t>
      </w:r>
    </w:p>
    <w:p>
      <w:pPr>
        <w:pStyle w:val="Heading2"/>
        <w:keepNext w:val="1"/>
      </w:pPr>
      <w:r>
        <w:rPr>
          <w:rFonts w:ascii="Cambria" w:hAnsi="Cambria" w:eastAsia="Cambria" w:cs="Cambria"/>
          <w:b/>
          <w:i w:val="0"/>
          <w:color w:val="000000"/>
          <w:sz w:val="23"/>
        </w:rPr>
        <w:t>7.4 Documented Information</w:t>
      </w:r>
    </w:p>
    <w:p>
      <w:pPr>
        <w:spacing w:before="0" w:after="80" w:line="252" w:lineRule="auto"/>
      </w:pPr>
      <w:r>
        <w:rPr>
          <w:rFonts w:ascii="Cambria" w:hAnsi="Cambria" w:eastAsia="Cambria" w:cs="Cambria"/>
          <w:b w:val="0"/>
          <w:i w:val="0"/>
          <w:color w:val="000000"/>
          <w:sz w:val="21"/>
        </w:rPr>
        <w:t>Documented information is created, reviewed, approved, identified, protected, distributed, revised, retained and disposed of under controlled arrangements. Records remain legible, retrievable and protected from unintended alteration.</w:t>
      </w:r>
    </w:p>
    <w:p>
      <w:pPr>
        <w:pStyle w:val="Heading1"/>
        <w:keepNext w:val="1"/>
      </w:pPr>
      <w:r>
        <w:rPr>
          <w:rFonts w:ascii="Cambria" w:hAnsi="Cambria" w:eastAsia="Cambria" w:cs="Cambria"/>
          <w:b/>
          <w:i w:val="0"/>
          <w:color w:val="1F4E79"/>
          <w:sz w:val="26"/>
        </w:rPr>
        <w:t>8. Operational Planning and Control</w:t>
      </w:r>
    </w:p>
    <w:p>
      <w:pPr>
        <w:pStyle w:val="Heading2"/>
        <w:keepNext w:val="1"/>
      </w:pPr>
      <w:r>
        <w:rPr>
          <w:rFonts w:ascii="Cambria" w:hAnsi="Cambria" w:eastAsia="Cambria" w:cs="Cambria"/>
          <w:b/>
          <w:i w:val="0"/>
          <w:color w:val="000000"/>
          <w:sz w:val="23"/>
        </w:rPr>
        <w:t>8.1 SEU Operating Controls</w:t>
      </w:r>
    </w:p>
    <w:p>
      <w:pPr>
        <w:spacing w:before="0" w:after="80" w:line="252" w:lineRule="auto"/>
      </w:pPr>
      <w:r>
        <w:rPr>
          <w:rFonts w:ascii="Cambria" w:hAnsi="Cambria" w:eastAsia="Cambria" w:cs="Cambria"/>
          <w:b w:val="0"/>
          <w:i w:val="0"/>
          <w:color w:val="000000"/>
          <w:sz w:val="21"/>
        </w:rPr>
        <w:t>Operating and maintenance criteria are established where their absence could lead to significant deviation from intended energy performance. Criteria are communicated to persons performing the work and are maintained in suitable procedures, work instructions, setpoint controls, maintenance plans or operating records.</w:t>
      </w:r>
    </w:p>
    <w:p>
      <w:pPr>
        <w:pStyle w:val="Heading2"/>
        <w:keepNext w:val="1"/>
      </w:pPr>
      <w:r>
        <w:rPr>
          <w:rFonts w:ascii="Cambria" w:hAnsi="Cambria" w:eastAsia="Cambria" w:cs="Cambria"/>
          <w:b/>
          <w:i w:val="0"/>
          <w:color w:val="000000"/>
          <w:sz w:val="23"/>
        </w:rPr>
        <w:t>8.2 Design</w:t>
      </w:r>
    </w:p>
    <w:p>
      <w:pPr>
        <w:spacing w:before="0" w:after="80" w:line="252" w:lineRule="auto"/>
      </w:pPr>
      <w:r>
        <w:rPr>
          <w:rFonts w:ascii="Cambria" w:hAnsi="Cambria" w:eastAsia="Cambria" w:cs="Cambria"/>
          <w:b w:val="0"/>
          <w:i w:val="0"/>
          <w:color w:val="000000"/>
          <w:sz w:val="21"/>
        </w:rPr>
        <w:t>When facilities, systems, equipment or processes with a significant effect on energy performance are designed or modified, the organization evaluates energy-performance improvement opportunities and incorporates relevant results into design decisions where practical.</w:t>
      </w:r>
    </w:p>
    <w:p>
      <w:pPr>
        <w:pStyle w:val="Heading2"/>
        <w:keepNext w:val="1"/>
      </w:pPr>
      <w:r>
        <w:rPr>
          <w:rFonts w:ascii="Cambria" w:hAnsi="Cambria" w:eastAsia="Cambria" w:cs="Cambria"/>
          <w:b/>
          <w:i w:val="0"/>
          <w:color w:val="000000"/>
          <w:sz w:val="23"/>
        </w:rPr>
        <w:t>8.3 Procurement</w:t>
      </w:r>
    </w:p>
    <w:p>
      <w:pPr>
        <w:spacing w:before="0" w:after="80" w:line="252" w:lineRule="auto"/>
      </w:pPr>
      <w:r>
        <w:rPr>
          <w:rFonts w:ascii="Cambria" w:hAnsi="Cambria" w:eastAsia="Cambria" w:cs="Cambria"/>
          <w:b w:val="0"/>
          <w:i w:val="0"/>
          <w:color w:val="000000"/>
          <w:sz w:val="21"/>
        </w:rPr>
        <w:t>Procurement processes apply energy-performance criteria to relevant energy services, products and equipment. Suppliers are informed when energy performance is an evaluation factor, and procurement decisions use life-cycle or operating-energy considerations where appropriate to the organization.</w:t>
      </w:r>
    </w:p>
    <w:p>
      <w:pPr>
        <w:pStyle w:val="Heading1"/>
        <w:keepNext w:val="1"/>
      </w:pPr>
      <w:r>
        <w:rPr>
          <w:rFonts w:ascii="Cambria" w:hAnsi="Cambria" w:eastAsia="Cambria" w:cs="Cambria"/>
          <w:b/>
          <w:i w:val="0"/>
          <w:color w:val="1F4E79"/>
          <w:sz w:val="26"/>
        </w:rPr>
        <w:t>9. Performance Evaluation</w:t>
      </w:r>
    </w:p>
    <w:p>
      <w:pPr>
        <w:pStyle w:val="Heading2"/>
        <w:keepNext w:val="1"/>
      </w:pPr>
      <w:r>
        <w:rPr>
          <w:rFonts w:ascii="Cambria" w:hAnsi="Cambria" w:eastAsia="Cambria" w:cs="Cambria"/>
          <w:b/>
          <w:i w:val="0"/>
          <w:color w:val="000000"/>
          <w:sz w:val="23"/>
        </w:rPr>
        <w:t>9.1 Monitoring, Measurement, Analysis and Evaluation</w:t>
      </w:r>
    </w:p>
    <w:p>
      <w:pPr>
        <w:spacing w:before="0" w:after="80" w:line="252" w:lineRule="auto"/>
      </w:pPr>
      <w:r>
        <w:rPr>
          <w:rFonts w:ascii="Cambria" w:hAnsi="Cambria" w:eastAsia="Cambria" w:cs="Cambria"/>
          <w:b w:val="0"/>
          <w:i w:val="0"/>
          <w:color w:val="000000"/>
          <w:sz w:val="21"/>
        </w:rPr>
        <w:t>The organization monitors key characteristics that determine energy performance and EnMS effectiveness. Reporting includes EnPI results, energy use and consumption, performance against objectives, SEU performance and significant deviations. Data are analyzed at a frequency appropriate to the operating and decision cycle.</w:t>
      </w:r>
    </w:p>
    <w:p>
      <w:pPr>
        <w:pStyle w:val="Heading2"/>
        <w:keepNext w:val="1"/>
      </w:pPr>
      <w:r>
        <w:rPr>
          <w:rFonts w:ascii="Cambria" w:hAnsi="Cambria" w:eastAsia="Cambria" w:cs="Cambria"/>
          <w:b/>
          <w:i w:val="0"/>
          <w:color w:val="000000"/>
          <w:sz w:val="23"/>
        </w:rPr>
        <w:t>9.2 Evaluation of Energy Performance Improvement</w:t>
      </w:r>
    </w:p>
    <w:p>
      <w:pPr>
        <w:spacing w:before="0" w:after="80" w:line="252" w:lineRule="auto"/>
      </w:pPr>
      <w:r>
        <w:rPr>
          <w:rFonts w:ascii="Cambria" w:hAnsi="Cambria" w:eastAsia="Cambria" w:cs="Cambria"/>
          <w:b w:val="0"/>
          <w:i w:val="0"/>
          <w:color w:val="000000"/>
          <w:sz w:val="21"/>
        </w:rPr>
        <w:t>Energy performance improvement is demonstrated using controlled comparisons against suitable EnPIs and energy baselines, with relevant variables and static factors considered where necessary. Improvement claims are supported by traceable data and documented calculation or measurement methods.</w:t>
      </w:r>
    </w:p>
    <w:p>
      <w:pPr>
        <w:pStyle w:val="Heading2"/>
        <w:keepNext w:val="1"/>
      </w:pPr>
      <w:r>
        <w:rPr>
          <w:rFonts w:ascii="Cambria" w:hAnsi="Cambria" w:eastAsia="Cambria" w:cs="Cambria"/>
          <w:b/>
          <w:i w:val="0"/>
          <w:color w:val="000000"/>
          <w:sz w:val="23"/>
        </w:rPr>
        <w:t>9.3 Internal Audit</w:t>
      </w:r>
    </w:p>
    <w:p>
      <w:pPr>
        <w:spacing w:before="0" w:after="80" w:line="252" w:lineRule="auto"/>
      </w:pPr>
      <w:r>
        <w:rPr>
          <w:rFonts w:ascii="Cambria" w:hAnsi="Cambria" w:eastAsia="Cambria" w:cs="Cambria"/>
          <w:b w:val="0"/>
          <w:i w:val="0"/>
          <w:color w:val="000000"/>
          <w:sz w:val="21"/>
        </w:rPr>
        <w:t>A risk-based internal audit programme evaluates whether the EnMS conforms to planned arrangements and is effectively implemented and maintained. Audit scope, criteria, competence, independence, evidence, findings and follow-up are controlled. Audit results are reported to relevant management.</w:t>
      </w:r>
    </w:p>
    <w:p>
      <w:pPr>
        <w:pStyle w:val="Heading2"/>
        <w:keepNext w:val="1"/>
      </w:pPr>
      <w:r>
        <w:rPr>
          <w:rFonts w:ascii="Cambria" w:hAnsi="Cambria" w:eastAsia="Cambria" w:cs="Cambria"/>
          <w:b/>
          <w:i w:val="0"/>
          <w:color w:val="000000"/>
          <w:sz w:val="23"/>
        </w:rPr>
        <w:t>9.4 Management Review</w:t>
      </w:r>
    </w:p>
    <w:p>
      <w:pPr>
        <w:spacing w:before="0" w:after="80" w:line="252" w:lineRule="auto"/>
      </w:pPr>
      <w:r>
        <w:rPr>
          <w:rFonts w:ascii="Cambria" w:hAnsi="Cambria" w:eastAsia="Cambria" w:cs="Cambria"/>
          <w:b w:val="0"/>
          <w:i w:val="0"/>
          <w:color w:val="000000"/>
          <w:sz w:val="21"/>
        </w:rPr>
        <w:t>Top management reviews the EnMS at planned intervals. Inputs include relevant changes, prior actions, energy performance, objectives, EnPI/baseline information, audit results, compliance or other relevant requirements, resource adequacy and improvement opportunities. Decisions and actions are recorded, assigned and followed to closure.</w:t>
      </w:r>
    </w:p>
    <w:p>
      <w:pPr>
        <w:pStyle w:val="Heading1"/>
        <w:keepNext w:val="1"/>
      </w:pPr>
      <w:r>
        <w:rPr>
          <w:rFonts w:ascii="Cambria" w:hAnsi="Cambria" w:eastAsia="Cambria" w:cs="Cambria"/>
          <w:b/>
          <w:i w:val="0"/>
          <w:color w:val="1F4E79"/>
          <w:sz w:val="26"/>
        </w:rPr>
        <w:t>10. Improvement</w:t>
      </w:r>
    </w:p>
    <w:p>
      <w:pPr>
        <w:pStyle w:val="Heading2"/>
        <w:keepNext w:val="1"/>
      </w:pPr>
      <w:r>
        <w:rPr>
          <w:rFonts w:ascii="Cambria" w:hAnsi="Cambria" w:eastAsia="Cambria" w:cs="Cambria"/>
          <w:b/>
          <w:i w:val="0"/>
          <w:color w:val="000000"/>
          <w:sz w:val="23"/>
        </w:rPr>
        <w:t>10.1 Nonconformity and Corrective Action</w:t>
      </w:r>
    </w:p>
    <w:p>
      <w:pPr>
        <w:spacing w:before="0" w:after="80" w:line="252" w:lineRule="auto"/>
      </w:pPr>
      <w:r>
        <w:rPr>
          <w:rFonts w:ascii="Cambria" w:hAnsi="Cambria" w:eastAsia="Cambria" w:cs="Cambria"/>
          <w:b w:val="0"/>
          <w:i w:val="0"/>
          <w:color w:val="000000"/>
          <w:sz w:val="21"/>
        </w:rPr>
        <w:t>Nonconformities are corrected, consequences are addressed as appropriate, causes are evaluated and corrective actions are implemented proportionate to the issue. Effectiveness is verified before formal closure and related documented information is retained.</w:t>
      </w:r>
    </w:p>
    <w:p>
      <w:pPr>
        <w:pStyle w:val="Heading2"/>
        <w:keepNext w:val="1"/>
      </w:pPr>
      <w:r>
        <w:rPr>
          <w:rFonts w:ascii="Cambria" w:hAnsi="Cambria" w:eastAsia="Cambria" w:cs="Cambria"/>
          <w:b/>
          <w:i w:val="0"/>
          <w:color w:val="000000"/>
          <w:sz w:val="23"/>
        </w:rPr>
        <w:t>10.2 Continual Improvement</w:t>
      </w:r>
    </w:p>
    <w:p>
      <w:pPr>
        <w:spacing w:before="0" w:after="80" w:line="252" w:lineRule="auto"/>
      </w:pPr>
      <w:r>
        <w:rPr>
          <w:rFonts w:ascii="Cambria" w:hAnsi="Cambria" w:eastAsia="Cambria" w:cs="Cambria"/>
          <w:b w:val="0"/>
          <w:i w:val="0"/>
          <w:color w:val="000000"/>
          <w:sz w:val="21"/>
        </w:rPr>
        <w:t>The organization continually improves the suitability, adequacy and effectiveness of the EnMS and seeks ongoing improvement in energy performance. Improvement opportunities may arise from the energy review, audit, management review, operational data, maintenance, design, procurement, employee suggestions and investment projects.</w:t>
      </w:r>
    </w:p>
    <w:p>
      <w:pPr>
        <w:pStyle w:val="Heading1"/>
        <w:keepNext w:val="1"/>
      </w:pPr>
      <w:r>
        <w:rPr>
          <w:rFonts w:ascii="Cambria" w:hAnsi="Cambria" w:eastAsia="Cambria" w:cs="Cambria"/>
          <w:b/>
          <w:i w:val="0"/>
          <w:color w:val="1F4E79"/>
          <w:sz w:val="26"/>
        </w:rPr>
        <w:t>11. EnMS Document Architecture</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15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Document Layer</w:t>
            </w:r>
          </w:p>
        </w:tc>
        <w:tc>
          <w:tcPr>
            <w:tcW w:type="dxa" w:w="396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Examples</w:t>
            </w:r>
          </w:p>
        </w:tc>
        <w:tc>
          <w:tcPr>
            <w:tcW w:type="dxa" w:w="323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Control Intent</w:t>
            </w:r>
          </w:p>
        </w:tc>
      </w:tr>
      <w:tr>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Governance</w:t>
            </w:r>
          </w:p>
        </w:tc>
        <w:tc>
          <w:tcPr>
            <w:tcW w:type="dxa" w:w="39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Management Manual, Energy Policy, EnMS Scope</w:t>
            </w:r>
          </w:p>
        </w:tc>
        <w:tc>
          <w:tcPr>
            <w:tcW w:type="dxa" w:w="323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Define framework, commitments, scope and system direction.</w:t>
            </w:r>
          </w:p>
        </w:tc>
      </w:tr>
      <w:tr>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Procedures</w:t>
            </w:r>
          </w:p>
        </w:tc>
        <w:tc>
          <w:tcPr>
            <w:tcW w:type="dxa" w:w="39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Documented Information, Internal Audit, Management Review, Corrective Action</w:t>
            </w:r>
          </w:p>
        </w:tc>
        <w:tc>
          <w:tcPr>
            <w:tcW w:type="dxa" w:w="323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Define repeatable management-system processes.</w:t>
            </w:r>
          </w:p>
        </w:tc>
      </w:tr>
      <w:tr>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Operational Controls</w:t>
            </w:r>
          </w:p>
        </w:tc>
        <w:tc>
          <w:tcPr>
            <w:tcW w:type="dxa" w:w="39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SEU procedures, operating criteria, maintenance controls, procurement/design controls</w:t>
            </w:r>
          </w:p>
        </w:tc>
        <w:tc>
          <w:tcPr>
            <w:tcW w:type="dxa" w:w="323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Control activities that can materially affect energy performance.</w:t>
            </w:r>
          </w:p>
        </w:tc>
      </w:tr>
      <w:tr>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Registers / Plans</w:t>
            </w:r>
          </w:p>
        </w:tc>
        <w:tc>
          <w:tcPr>
            <w:tcW w:type="dxa" w:w="39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review, SEU register, EnPI register, baseline register, data plan, objectives/actions</w:t>
            </w:r>
          </w:p>
        </w:tc>
        <w:tc>
          <w:tcPr>
            <w:tcW w:type="dxa" w:w="323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Maintain current planning and control information.</w:t>
            </w:r>
          </w:p>
        </w:tc>
      </w:tr>
      <w:tr>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Records / Reports</w:t>
            </w:r>
          </w:p>
        </w:tc>
        <w:tc>
          <w:tcPr>
            <w:tcW w:type="dxa" w:w="39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Meter data, training, audits, management review, performance reports, action closures</w:t>
            </w:r>
          </w:p>
        </w:tc>
        <w:tc>
          <w:tcPr>
            <w:tcW w:type="dxa" w:w="323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Provide objective evidence and decision support.</w:t>
            </w:r>
          </w:p>
        </w:tc>
      </w:tr>
    </w:tbl>
    <w:p>
      <w:pPr>
        <w:pStyle w:val="Heading1"/>
        <w:keepNext w:val="1"/>
      </w:pPr>
      <w:r>
        <w:rPr>
          <w:rFonts w:ascii="Cambria" w:hAnsi="Cambria" w:eastAsia="Cambria" w:cs="Cambria"/>
          <w:b/>
          <w:i w:val="0"/>
          <w:color w:val="1F4E79"/>
          <w:sz w:val="26"/>
        </w:rPr>
        <w:t>12. Management System Process Interaction</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04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Process</w:t>
            </w:r>
          </w:p>
        </w:tc>
        <w:tc>
          <w:tcPr>
            <w:tcW w:type="dxa" w:w="328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Primary Inputs</w:t>
            </w:r>
          </w:p>
        </w:tc>
        <w:tc>
          <w:tcPr>
            <w:tcW w:type="dxa" w:w="402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Primary Outputs / Interfaces</w:t>
            </w:r>
          </w:p>
        </w:tc>
      </w:tr>
      <w:tr>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Context &amp; Leadership</w:t>
            </w:r>
          </w:p>
        </w:tc>
        <w:tc>
          <w:tcPr>
            <w:tcW w:type="dxa" w:w="328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Business context, interested parties, strategy</w:t>
            </w:r>
          </w:p>
        </w:tc>
        <w:tc>
          <w:tcPr>
            <w:tcW w:type="dxa" w:w="402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Scope, policy, roles, resources, strategic direction.</w:t>
            </w:r>
          </w:p>
        </w:tc>
      </w:tr>
      <w:tr>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Planning</w:t>
            </w:r>
          </w:p>
        </w:tc>
        <w:tc>
          <w:tcPr>
            <w:tcW w:type="dxa" w:w="328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data, process knowledge, context</w:t>
            </w:r>
          </w:p>
        </w:tc>
        <w:tc>
          <w:tcPr>
            <w:tcW w:type="dxa" w:w="402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review, SEUs, EnPIs, baselines, objectives, action plans.</w:t>
            </w:r>
          </w:p>
        </w:tc>
      </w:tr>
      <w:tr>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Support</w:t>
            </w:r>
          </w:p>
        </w:tc>
        <w:tc>
          <w:tcPr>
            <w:tcW w:type="dxa" w:w="328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Roles, competence needs, communication needs</w:t>
            </w:r>
          </w:p>
        </w:tc>
        <w:tc>
          <w:tcPr>
            <w:tcW w:type="dxa" w:w="402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Competent personnel, controlled information, communications, resources.</w:t>
            </w:r>
          </w:p>
        </w:tc>
      </w:tr>
      <w:tr>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Operation</w:t>
            </w:r>
          </w:p>
        </w:tc>
        <w:tc>
          <w:tcPr>
            <w:tcW w:type="dxa" w:w="328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SEUs, objectives, design/procurement needs</w:t>
            </w:r>
          </w:p>
        </w:tc>
        <w:tc>
          <w:tcPr>
            <w:tcW w:type="dxa" w:w="402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Operational controls, maintenance, improvement implementation.</w:t>
            </w:r>
          </w:p>
        </w:tc>
      </w:tr>
      <w:tr>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Performance Evaluation</w:t>
            </w:r>
          </w:p>
        </w:tc>
        <w:tc>
          <w:tcPr>
            <w:tcW w:type="dxa" w:w="328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Meter data, EnPI results, audit evidence</w:t>
            </w:r>
          </w:p>
        </w:tc>
        <w:tc>
          <w:tcPr>
            <w:tcW w:type="dxa" w:w="402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Performance reports, audit findings, management review inputs.</w:t>
            </w:r>
          </w:p>
        </w:tc>
      </w:tr>
      <w:tr>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Improvement</w:t>
            </w:r>
          </w:p>
        </w:tc>
        <w:tc>
          <w:tcPr>
            <w:tcW w:type="dxa" w:w="328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Findings, review decisions, opportunities</w:t>
            </w:r>
          </w:p>
        </w:tc>
        <w:tc>
          <w:tcPr>
            <w:tcW w:type="dxa" w:w="402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Corrective actions, verified improvements, revised controls.</w:t>
            </w:r>
          </w:p>
        </w:tc>
      </w:tr>
    </w:tbl>
    <w:p>
      <w:pPr>
        <w:pStyle w:val="Heading1"/>
        <w:keepNext w:val="1"/>
      </w:pPr>
      <w:r>
        <w:rPr>
          <w:rFonts w:ascii="Cambria" w:hAnsi="Cambria" w:eastAsia="Cambria" w:cs="Cambria"/>
          <w:b/>
          <w:i w:val="0"/>
          <w:color w:val="1F4E79"/>
          <w:sz w:val="26"/>
        </w:rPr>
        <w:t>References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368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Reference</w:t>
            </w:r>
          </w:p>
        </w:tc>
        <w:tc>
          <w:tcPr>
            <w:tcW w:type="dxa" w:w="566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Official Source</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https://www.iso.org/standard/69426.html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50001:2018/Amd 1:2024</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https://www.iso.org/standard/88430.html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50004:2020</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https://www.iso.org/standard/74863.html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50006:2023</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https://www.iso.org/standard/79367.html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19011:2026</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https://www.iso.org/standard/19011</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Use the organization's licensed copy of applicable standards for authoritative requirements. This toolkit paraphrases requirements and does not reproduce copyrighted standard text.</w:t>
            </w:r>
          </w:p>
        </w:tc>
      </w:tr>
    </w:tbl>
    <w:p>
      <w:pPr>
        <w:pStyle w:val="Heading1"/>
        <w:keepNext w:val="1"/>
      </w:pPr>
      <w:r>
        <w:rPr>
          <w:rFonts w:ascii="Cambria" w:hAnsi="Cambria" w:eastAsia="Cambria" w:cs="Cambria"/>
          <w:b/>
          <w:i w:val="0"/>
          <w:color w:val="1F4E79"/>
          <w:sz w:val="26"/>
        </w:rPr>
        <w:t>Revision and Approval</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1615"/>
        <w:gridCol w:w="1615"/>
        <w:gridCol w:w="1615"/>
        <w:gridCol w:w="1615"/>
        <w:gridCol w:w="1615"/>
        <w:gridCol w:w="1615"/>
      </w:tblGrid>
      <w:tr>
        <w:trPr>
          <w:tblHeader w:val="true"/>
        </w:trPr>
        <w:tc>
          <w:tcPr>
            <w:tcW w:type="dxa" w:w="79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Version</w:t>
            </w:r>
          </w:p>
        </w:tc>
        <w:tc>
          <w:tcPr>
            <w:tcW w:type="dxa" w:w="124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Date</w:t>
            </w:r>
          </w:p>
        </w:tc>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Description</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Prepared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Reviewed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Approved By</w:t>
            </w:r>
          </w:p>
        </w:tc>
      </w:tr>
      <w:tr>
        <w:tc>
          <w:tcPr>
            <w:tcW w:type="dxa" w:w="7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1.0</w:t>
            </w:r>
          </w:p>
        </w:tc>
        <w:tc>
          <w:tcPr>
            <w:tcW w:type="dxa" w:w="124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2026-09-19</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Initial issue</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[PREPARED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[REVIEWED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[APPROVER]</w:t>
            </w:r>
          </w:p>
        </w:tc>
      </w:tr>
    </w:tbl>
    <w:p>
      <w:pPr>
        <w:spacing w:before="0" w:after="80" w:line="252" w:lineRule="auto"/>
      </w:pPr>
      <w:r>
        <w:rPr>
          <w:rFonts w:ascii="Cambria" w:hAnsi="Cambria" w:eastAsia="Cambria" w:cs="Cambria"/>
          <w:b w:val="0"/>
          <w:i w:val="0"/>
          <w:color w:val="000000"/>
          <w:sz w:val="21"/>
        </w:rPr>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Control Field</w:t>
            </w:r>
          </w:p>
        </w:tc>
        <w:tc>
          <w:tcPr>
            <w:tcW w:type="dxa" w:w="70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Requirement</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Document Code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EnMS-MAN-001</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Review Cycle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Annual or upon significant change</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Retention Period</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As defined by the organization's record retention requirements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Classification</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INTERNAL</w:t>
            </w:r>
          </w:p>
        </w:tc>
      </w:tr>
    </w:tbl>
    <w:sectPr w:rsidR="00FC693F" w:rsidRPr="0006063C" w:rsidSect="00034616">
      <w:headerReference w:type="default" r:id="rId9"/>
      <w:footerReference w:type="default" r:id="rId10"/>
      <w:pgSz w:w="12240" w:h="15840"/>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eastAsia="Cambria" w:cs="Cambria"/>
        <w:b w:val="0"/>
        <w:i w:val="0"/>
        <w:color w:val="666666"/>
        <w:sz w:val="16"/>
      </w:rPr>
      <w:t xml:space="preserve">www.iso-toolkits.org  |  info@iso-toolkits.org  |  Page </w:t>
    </w:r>
    <w:r>
      <w:rPr>
        <w:rFonts w:ascii="Cambria" w:hAnsi="Cambria" w:eastAsia="Cambria" w:cs="Cambria"/>
        <w:b w:val="0"/>
        <w:i w:val="0"/>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ayout w:type="fixed"/>
      <w:tblLook w:firstColumn="1" w:firstRow="1" w:lastColumn="0" w:lastRow="0" w:noHBand="0" w:noVBand="1" w:val="04A0"/>
      <w:tblBorders>
        <w:top w:val="single" w:sz="3" w:space="0" w:color="D9E1E8"/>
        <w:left w:val="single" w:sz="3" w:space="0" w:color="D9E1E8"/>
        <w:bottom w:val="single" w:sz="3" w:space="0" w:color="D9E1E8"/>
        <w:right w:val="single" w:sz="3" w:space="0" w:color="D9E1E8"/>
        <w:insideH w:val="single" w:sz="3" w:space="0" w:color="D9E1E8"/>
        <w:insideV w:val="single" w:sz="3" w:space="0" w:color="D9E1E8"/>
      </w:tblBorders>
    </w:tblPr>
    <w:tblGrid>
      <w:gridCol w:w="1984"/>
      <w:gridCol w:w="4819"/>
      <w:gridCol w:w="2551"/>
    </w:tblGrid>
    <w:tr>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ORGANIZATION LOGO</w:t>
          </w:r>
        </w:p>
      </w:tc>
      <w:tc>
        <w:tcPr>
          <w:tcW w:type="dxa" w:w="3118"/>
          <w:tcMar>
            <w:top w:w="50" w:type="dxa"/>
            <w:left w:w="70" w:type="dxa"/>
            <w:bottom w:w="50" w:type="dxa"/>
            <w:right w:w="70" w:type="dxa"/>
          </w:tcMar>
          <w:vAlign w:val="center"/>
        </w:tcPr>
        <w:p>
          <w:pPr>
            <w:spacing w:before="0" w:after="0" w:line="240" w:lineRule="auto"/>
            <w:jc w:val="center"/>
          </w:pPr>
          <w:r>
            <w:rPr>
              <w:rFonts w:ascii="Cambria" w:hAnsi="Cambria" w:eastAsia="Cambria" w:cs="Cambria"/>
              <w:b/>
              <w:i w:val="0"/>
              <w:color w:val="1F4E79"/>
              <w:sz w:val="17"/>
            </w:rPr>
            <w:t>[ORGANIZATION NAME]</w:t>
            <w:br/>
            <w:t>Energy Management Manual</w:t>
          </w:r>
        </w:p>
      </w:tc>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EnMS-MAN-001</w:t>
            <w:br/>
            <w:t>Version 1.0</w:t>
            <w:br/>
            <w:t>Effective: 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Management Manual</dc:title>
  <dc:subject>Energy Management System manual describing the organizational framework for ISO 50001 implementation and operation.</dc:subject>
  <dc:creator>ISO Toolkits</dc:creator>
  <cp:keywords>ISO 50001, Energy Management System, EnMS manual, energy performance</cp:keywords>
  <dc:description>ISO 50001 toolkit document. Website: www.iso-toolkits.org; Email: info@iso-toolkits.org</dc:description>
  <cp:lastModifiedBy>ISO Toolkits</cp:lastModifiedBy>
  <cp:revision>1</cp:revision>
  <dcterms:created xsi:type="dcterms:W3CDTF">2013-12-23T23:15:00Z</dcterms:created>
  <dcterms:modified xsi:type="dcterms:W3CDTF">2013-12-23T23:15:00Z</dcterms:modified>
  <cp:category>ISO 50001 Energy Management System</cp:category>
</cp:coreProperties>
</file>