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spacing w:before="1100" w:after="240"/>
        <w:jc w:val="center"/>
      </w:pPr>
      <w:r>
        <w:rPr>
          <w:rFonts w:ascii="Cambria" w:hAnsi="Cambria" w:eastAsia="Cambria" w:cs="Cambria"/>
          <w:b/>
          <w:i w:val="0"/>
          <w:color w:val="1F4E79"/>
          <w:sz w:val="42"/>
        </w:rPr>
        <w:t>Energy Gap Analysis Guidance</w:t>
      </w:r>
    </w:p>
    <w:p>
      <w:pPr>
        <w:spacing w:after="560"/>
        <w:jc w:val="center"/>
      </w:pPr>
      <w:r>
        <w:rPr>
          <w:rFonts w:ascii="Cambria" w:hAnsi="Cambria" w:eastAsia="Cambria" w:cs="Cambria"/>
          <w:b w:val="0"/>
          <w:i w:val="0"/>
          <w:color w:val="555555"/>
          <w:sz w:val="22"/>
        </w:rPr>
        <w:t>ISO 50001 Energy Management System</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118"/>
        <w:gridCol w:w="5386"/>
      </w:tblGrid>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Code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EnMS-GUI-001</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Version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1.0</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Effective Date</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2026-09-19</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Classification</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INTERNAL</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Document Owner</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Energy Manager / EnMS Implementation Lead</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Approved By</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[APPROVER]</w:t>
            </w:r>
          </w:p>
        </w:tc>
      </w:tr>
      <w:tr>
        <w:tc>
          <w:tcPr>
            <w:tcW w:type="dxa" w:w="4844"/>
            <w:shd w:fill="EAF3F8" w:val="clear"/>
            <w:tcMar>
              <w:top w:w="80" w:type="dxa"/>
              <w:left w:w="90" w:type="dxa"/>
              <w:bottom w:w="80" w:type="dxa"/>
              <w:right w:w="90" w:type="dxa"/>
            </w:tcMar>
            <w:vAlign w:val="center"/>
          </w:tcPr>
          <w:p>
            <w:pPr>
              <w:spacing w:before="0" w:after="0" w:line="240" w:lineRule="auto"/>
            </w:pPr>
            <w:r>
              <w:rPr>
                <w:rFonts w:ascii="Cambria" w:hAnsi="Cambria" w:eastAsia="Cambria" w:cs="Cambria"/>
                <w:b/>
                <w:i w:val="0"/>
                <w:color w:val="000000"/>
                <w:sz w:val="19"/>
              </w:rPr>
              <w:t>Applicable Standard</w:t>
            </w:r>
          </w:p>
        </w:tc>
        <w:tc>
          <w:tcPr>
            <w:tcW w:type="dxa" w:w="4844"/>
            <w:tcMar>
              <w:top w:w="80" w:type="dxa"/>
              <w:left w:w="90" w:type="dxa"/>
              <w:bottom w:w="80" w:type="dxa"/>
              <w:right w:w="90" w:type="dxa"/>
            </w:tcMar>
            <w:vAlign w:val="center"/>
          </w:tcPr>
          <w:p>
            <w:pPr>
              <w:spacing w:before="0" w:after="0" w:line="240" w:lineRule="auto"/>
            </w:pPr>
            <w:r>
              <w:rPr>
                <w:rFonts w:ascii="Cambria" w:hAnsi="Cambria" w:eastAsia="Cambria" w:cs="Cambria"/>
                <w:b w:val="0"/>
                <w:i w:val="0"/>
                <w:color w:val="000000"/>
                <w:sz w:val="19"/>
              </w:rPr>
              <w:t>ISO 50001:2018 + Amendment 1:2024</w:t>
            </w:r>
          </w:p>
        </w:tc>
      </w:tr>
    </w:tbl>
    <w:p>
      <w:pPr>
        <w:spacing w:before="480"/>
        <w:jc w:val="center"/>
      </w:pPr>
      <w:r>
        <w:rPr>
          <w:rFonts w:ascii="Cambria" w:hAnsi="Cambria" w:eastAsia="Cambria" w:cs="Cambria"/>
          <w:b/>
          <w:i w:val="0"/>
          <w:color w:val="1F4E79"/>
          <w:sz w:val="19"/>
        </w:rPr>
        <w:t>ISO TOOLKITS DOCUMENT</w:t>
      </w:r>
    </w:p>
    <w:p>
      <w:pPr>
        <w:jc w:val="center"/>
      </w:pPr>
      <w:r>
        <w:rPr>
          <w:rFonts w:ascii="Cambria" w:hAnsi="Cambria" w:eastAsia="Cambria" w:cs="Cambria"/>
          <w:b w:val="0"/>
          <w:i w:val="0"/>
          <w:color w:val="666666"/>
          <w:sz w:val="17"/>
        </w:rPr>
        <w:t>Website: www.iso-toolkits.org | Email: info@iso-toolkits.org</w:t>
      </w:r>
    </w:p>
    <w:p>
      <w:r>
        <w:br w:type="page"/>
      </w:r>
    </w:p>
    <w:p>
      <w:pPr>
        <w:pStyle w:val="Heading1"/>
        <w:keepNext w:val="1"/>
      </w:pPr>
      <w:r>
        <w:rPr>
          <w:rFonts w:ascii="Cambria" w:hAnsi="Cambria" w:eastAsia="Cambria" w:cs="Cambria"/>
          <w:b/>
          <w:i w:val="0"/>
          <w:color w:val="1F4E79"/>
          <w:sz w:val="26"/>
        </w:rPr>
        <w:t>1. Purpose</w:t>
      </w:r>
    </w:p>
    <w:p>
      <w:pPr>
        <w:spacing w:before="0" w:after="80" w:line="252" w:lineRule="auto"/>
      </w:pPr>
      <w:r>
        <w:rPr>
          <w:rFonts w:ascii="Cambria" w:hAnsi="Cambria" w:eastAsia="Cambria" w:cs="Cambria"/>
          <w:b w:val="0"/>
          <w:i w:val="0"/>
          <w:color w:val="000000"/>
          <w:sz w:val="21"/>
        </w:rPr>
        <w:t>This guidance explains how to plan, conduct, document and convert an ISO 50001 gap analysis into a controlled implementation programme. It is intended for organizations establishing, upgrading or re-validating an Energy Management System (EnMS).</w:t>
      </w:r>
    </w:p>
    <w:p>
      <w:pPr>
        <w:pStyle w:val="Heading1"/>
        <w:keepNext w:val="1"/>
      </w:pPr>
      <w:r>
        <w:rPr>
          <w:rFonts w:ascii="Cambria" w:hAnsi="Cambria" w:eastAsia="Cambria" w:cs="Cambria"/>
          <w:b/>
          <w:i w:val="0"/>
          <w:color w:val="1F4E79"/>
          <w:sz w:val="26"/>
        </w:rPr>
        <w:t>2. When to Use This Guidance</w:t>
      </w:r>
    </w:p>
    <w:p>
      <w:pPr>
        <w:spacing w:after="40"/>
        <w:ind w:left="283" w:hanging="170"/>
      </w:pPr>
      <w:r>
        <w:rPr>
          <w:rFonts w:ascii="Cambria" w:hAnsi="Cambria" w:eastAsia="Cambria" w:cs="Cambria"/>
          <w:b w:val="0"/>
          <w:i w:val="0"/>
          <w:color w:val="000000"/>
          <w:sz w:val="20"/>
        </w:rPr>
        <w:t>• Before beginning a new ISO 50001 implementation or certification project.</w:t>
      </w:r>
    </w:p>
    <w:p>
      <w:pPr>
        <w:spacing w:after="40"/>
        <w:ind w:left="283" w:hanging="170"/>
      </w:pPr>
      <w:r>
        <w:rPr>
          <w:rFonts w:ascii="Cambria" w:hAnsi="Cambria" w:eastAsia="Cambria" w:cs="Cambria"/>
          <w:b w:val="0"/>
          <w:i w:val="0"/>
          <w:color w:val="000000"/>
          <w:sz w:val="20"/>
        </w:rPr>
        <w:t>• When an existing EnMS has not been formally assessed against the current organizational context and applicable amendments.</w:t>
      </w:r>
    </w:p>
    <w:p>
      <w:pPr>
        <w:spacing w:after="40"/>
        <w:ind w:left="283" w:hanging="170"/>
      </w:pPr>
      <w:r>
        <w:rPr>
          <w:rFonts w:ascii="Cambria" w:hAnsi="Cambria" w:eastAsia="Cambria" w:cs="Cambria"/>
          <w:b w:val="0"/>
          <w:i w:val="0"/>
          <w:color w:val="000000"/>
          <w:sz w:val="20"/>
        </w:rPr>
        <w:t>• After major changes in sites, processes, energy sources, asset configuration, organizational responsibilities or business strategy.</w:t>
      </w:r>
    </w:p>
    <w:p>
      <w:pPr>
        <w:spacing w:after="40"/>
        <w:ind w:left="283" w:hanging="170"/>
      </w:pPr>
      <w:r>
        <w:rPr>
          <w:rFonts w:ascii="Cambria" w:hAnsi="Cambria" w:eastAsia="Cambria" w:cs="Cambria"/>
          <w:b w:val="0"/>
          <w:i w:val="0"/>
          <w:color w:val="000000"/>
          <w:sz w:val="20"/>
        </w:rPr>
        <w:t>• Before a certification-readiness review, major internal audit cycle or integration with another management system.</w:t>
      </w:r>
    </w:p>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A gap analysis is an implementation assessment, not a certification audit. Do not present assumptions or unverified statements as confirmed nonconformities.</w:t>
            </w:r>
          </w:p>
        </w:tc>
      </w:tr>
    </w:tbl>
    <w:p>
      <w:pPr>
        <w:pStyle w:val="Heading1"/>
        <w:keepNext w:val="1"/>
      </w:pPr>
      <w:r>
        <w:rPr>
          <w:rFonts w:ascii="Cambria" w:hAnsi="Cambria" w:eastAsia="Cambria" w:cs="Cambria"/>
          <w:b/>
          <w:i w:val="0"/>
          <w:color w:val="1F4E79"/>
          <w:sz w:val="26"/>
        </w:rPr>
        <w:t>3. Roles and Responsibilities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55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Role</w:t>
            </w:r>
          </w:p>
        </w:tc>
        <w:tc>
          <w:tcPr>
            <w:tcW w:type="dxa" w:w="6803"/>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Primary Responsibilities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Executive Sponsor</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Confirm assessment purpose, remove major barriers and approve significant implementation priorities.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Manager / EnMS Lead</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Define scope, coordinate evidence collection, facilitate interviews, validate gaps and maintain the action plan.</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Gap Assessment Lead</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Apply consistent criteria, maintain objectivity, document evidence and distinguish facts from interpretation.</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Process / SEU Owners</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Provide records, explain controls and operating conditions, validate feasibility of proposed actions.</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Energy Analyst</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Support energy review, EnPI, baseline, relevant-variable and data-quality assessment.</w:t>
            </w:r>
          </w:p>
        </w:tc>
      </w:tr>
      <w:tr>
        <w:tc>
          <w:tcPr>
            <w:tcW w:type="dxa" w:w="255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Controller</w:t>
            </w:r>
          </w:p>
        </w:tc>
        <w:tc>
          <w:tcPr>
            <w:tcW w:type="dxa" w:w="6803"/>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Provide controlled documents, version status and evidence of document/record control.</w:t>
            </w:r>
          </w:p>
        </w:tc>
      </w:tr>
    </w:tbl>
    <w:p>
      <w:pPr>
        <w:pStyle w:val="Heading1"/>
        <w:keepNext w:val="1"/>
      </w:pPr>
      <w:r>
        <w:rPr>
          <w:rFonts w:ascii="Cambria" w:hAnsi="Cambria" w:eastAsia="Cambria" w:cs="Cambria"/>
          <w:b/>
          <w:i w:val="0"/>
          <w:color w:val="1F4E79"/>
          <w:sz w:val="26"/>
        </w:rPr>
        <w:t>4. Preparation</w:t>
      </w:r>
    </w:p>
    <w:p>
      <w:pPr>
        <w:pStyle w:val="Heading2"/>
        <w:keepNext w:val="1"/>
      </w:pPr>
      <w:r>
        <w:rPr>
          <w:rFonts w:ascii="Cambria" w:hAnsi="Cambria" w:eastAsia="Cambria" w:cs="Cambria"/>
          <w:b/>
          <w:i w:val="0"/>
          <w:color w:val="000000"/>
          <w:sz w:val="23"/>
        </w:rPr>
        <w:t>4.1 Define the Assessment Objective and Scope</w:t>
      </w:r>
    </w:p>
    <w:p>
      <w:pPr>
        <w:spacing w:before="0" w:after="80" w:line="252" w:lineRule="auto"/>
      </w:pPr>
      <w:r>
        <w:rPr>
          <w:rFonts w:ascii="Cambria" w:hAnsi="Cambria" w:eastAsia="Cambria" w:cs="Cambria"/>
          <w:b w:val="0"/>
          <w:i w:val="0"/>
          <w:color w:val="000000"/>
          <w:sz w:val="21"/>
        </w:rPr>
        <w:t>Define why the assessment is being performed, which sites, activities and energy uses are included, and the expected outputs. Record assumptions, exclusions and dependencies before interviews or evidence review begin.</w:t>
      </w:r>
    </w:p>
    <w:p>
      <w:pPr>
        <w:pStyle w:val="Heading2"/>
        <w:keepNext w:val="1"/>
      </w:pPr>
      <w:r>
        <w:rPr>
          <w:rFonts w:ascii="Cambria" w:hAnsi="Cambria" w:eastAsia="Cambria" w:cs="Cambria"/>
          <w:b/>
          <w:i w:val="0"/>
          <w:color w:val="000000"/>
          <w:sz w:val="23"/>
        </w:rPr>
        <w:t>4.2 Collect the Minimum Evidence Pack</w:t>
      </w:r>
    </w:p>
    <w:p>
      <w:pPr>
        <w:spacing w:after="40"/>
        <w:ind w:left="283" w:hanging="170"/>
      </w:pPr>
      <w:r>
        <w:rPr>
          <w:rFonts w:ascii="Cambria" w:hAnsi="Cambria" w:eastAsia="Cambria" w:cs="Cambria"/>
          <w:b w:val="0"/>
          <w:i w:val="0"/>
          <w:color w:val="000000"/>
          <w:sz w:val="20"/>
        </w:rPr>
        <w:t>• Proposed or current EnMS scope and boundaries.</w:t>
      </w:r>
    </w:p>
    <w:p>
      <w:pPr>
        <w:spacing w:after="40"/>
        <w:ind w:left="283" w:hanging="170"/>
      </w:pPr>
      <w:r>
        <w:rPr>
          <w:rFonts w:ascii="Cambria" w:hAnsi="Cambria" w:eastAsia="Cambria" w:cs="Cambria"/>
          <w:b w:val="0"/>
          <w:i w:val="0"/>
          <w:color w:val="000000"/>
          <w:sz w:val="20"/>
        </w:rPr>
        <w:t>• Organization chart and EnMS responsibilities.</w:t>
      </w:r>
    </w:p>
    <w:p>
      <w:pPr>
        <w:spacing w:after="40"/>
        <w:ind w:left="283" w:hanging="170"/>
      </w:pPr>
      <w:r>
        <w:rPr>
          <w:rFonts w:ascii="Cambria" w:hAnsi="Cambria" w:eastAsia="Cambria" w:cs="Cambria"/>
          <w:b w:val="0"/>
          <w:i w:val="0"/>
          <w:color w:val="000000"/>
          <w:sz w:val="20"/>
        </w:rPr>
        <w:t>• Energy policy and energy objectives, if already established.</w:t>
      </w:r>
    </w:p>
    <w:p>
      <w:pPr>
        <w:spacing w:after="40"/>
        <w:ind w:left="283" w:hanging="170"/>
      </w:pPr>
      <w:r>
        <w:rPr>
          <w:rFonts w:ascii="Cambria" w:hAnsi="Cambria" w:eastAsia="Cambria" w:cs="Cambria"/>
          <w:b w:val="0"/>
          <w:i w:val="0"/>
          <w:color w:val="000000"/>
          <w:sz w:val="20"/>
        </w:rPr>
        <w:t>• Energy bills, meter exports, fuel records and major energy-use data for a representative period.</w:t>
      </w:r>
    </w:p>
    <w:p>
      <w:pPr>
        <w:spacing w:after="40"/>
        <w:ind w:left="283" w:hanging="170"/>
      </w:pPr>
      <w:r>
        <w:rPr>
          <w:rFonts w:ascii="Cambria" w:hAnsi="Cambria" w:eastAsia="Cambria" w:cs="Cambria"/>
          <w:b w:val="0"/>
          <w:i w:val="0"/>
          <w:color w:val="000000"/>
          <w:sz w:val="20"/>
        </w:rPr>
        <w:t>• Energy review, SEU register, EnPI and energy-baseline records, where available.</w:t>
      </w:r>
    </w:p>
    <w:p>
      <w:pPr>
        <w:spacing w:after="40"/>
        <w:ind w:left="283" w:hanging="170"/>
      </w:pPr>
      <w:r>
        <w:rPr>
          <w:rFonts w:ascii="Cambria" w:hAnsi="Cambria" w:eastAsia="Cambria" w:cs="Cambria"/>
          <w:b w:val="0"/>
          <w:i w:val="0"/>
          <w:color w:val="000000"/>
          <w:sz w:val="20"/>
        </w:rPr>
        <w:t>• Operational procedures, maintenance plans, design and procurement records relevant to energy performance.</w:t>
      </w:r>
    </w:p>
    <w:p>
      <w:pPr>
        <w:spacing w:after="40"/>
        <w:ind w:left="283" w:hanging="170"/>
      </w:pPr>
      <w:r>
        <w:rPr>
          <w:rFonts w:ascii="Cambria" w:hAnsi="Cambria" w:eastAsia="Cambria" w:cs="Cambria"/>
          <w:b w:val="0"/>
          <w:i w:val="0"/>
          <w:color w:val="000000"/>
          <w:sz w:val="20"/>
        </w:rPr>
        <w:t>• Training, competence, communication and documented-information records.</w:t>
      </w:r>
    </w:p>
    <w:p>
      <w:pPr>
        <w:spacing w:after="40"/>
        <w:ind w:left="283" w:hanging="170"/>
      </w:pPr>
      <w:r>
        <w:rPr>
          <w:rFonts w:ascii="Cambria" w:hAnsi="Cambria" w:eastAsia="Cambria" w:cs="Cambria"/>
          <w:b w:val="0"/>
          <w:i w:val="0"/>
          <w:color w:val="000000"/>
          <w:sz w:val="20"/>
        </w:rPr>
        <w:t>• Monitoring results, internal audit, management review and corrective-action evidence, where the EnMS already operates.</w:t>
      </w:r>
    </w:p>
    <w:p>
      <w:pPr>
        <w:pStyle w:val="Heading2"/>
        <w:keepNext w:val="1"/>
      </w:pPr>
      <w:r>
        <w:rPr>
          <w:rFonts w:ascii="Cambria" w:hAnsi="Cambria" w:eastAsia="Cambria" w:cs="Cambria"/>
          <w:b/>
          <w:i w:val="0"/>
          <w:color w:val="000000"/>
          <w:sz w:val="23"/>
        </w:rPr>
        <w:t>4.3 Plan Interviews and Site Verification</w:t>
      </w:r>
    </w:p>
    <w:p>
      <w:pPr>
        <w:spacing w:before="0" w:after="80" w:line="252" w:lineRule="auto"/>
      </w:pPr>
      <w:r>
        <w:rPr>
          <w:rFonts w:ascii="Cambria" w:hAnsi="Cambria" w:eastAsia="Cambria" w:cs="Cambria"/>
          <w:b w:val="0"/>
          <w:i w:val="0"/>
          <w:color w:val="000000"/>
          <w:sz w:val="21"/>
        </w:rPr>
        <w:t>Interview top management, the Energy Manager, energy analysts, engineering, maintenance, operations, procurement, finance, HR, document control and internal audit as applicable. Where energy controls depend on physical operating conditions, verify selected controls at the point of use.</w:t>
      </w:r>
    </w:p>
    <w:p>
      <w:pPr>
        <w:pStyle w:val="Heading1"/>
        <w:keepNext w:val="1"/>
      </w:pPr>
      <w:r>
        <w:rPr>
          <w:rFonts w:ascii="Cambria" w:hAnsi="Cambria" w:eastAsia="Cambria" w:cs="Cambria"/>
          <w:b/>
          <w:i w:val="0"/>
          <w:color w:val="1F4E79"/>
          <w:sz w:val="26"/>
        </w:rPr>
        <w:t>5. Assessment Method</w:t>
      </w:r>
    </w:p>
    <w:p>
      <w:pPr>
        <w:pStyle w:val="Heading2"/>
        <w:keepNext w:val="1"/>
      </w:pPr>
      <w:r>
        <w:rPr>
          <w:rFonts w:ascii="Cambria" w:hAnsi="Cambria" w:eastAsia="Cambria" w:cs="Cambria"/>
          <w:b/>
          <w:i w:val="0"/>
          <w:color w:val="000000"/>
          <w:sz w:val="23"/>
        </w:rPr>
        <w:t>5.1 Evidence-Based Status Rules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192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Status</w:t>
            </w:r>
          </w:p>
        </w:tc>
        <w:tc>
          <w:tcPr>
            <w:tcW w:type="dxa" w:w="4706"/>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Use When</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Typical Follow-up</w:t>
            </w:r>
          </w:p>
        </w:tc>
      </w:tr>
      <w:tr>
        <w:tc>
          <w:tcPr>
            <w:tcW w:type="dxa" w:w="192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Fully Implemented</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The control is implemented, appropriate to scope and supported by current objective evidence.</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Maintain and monitor; no implementation gap.</w:t>
            </w:r>
          </w:p>
        </w:tc>
      </w:tr>
      <w:tr>
        <w:tc>
          <w:tcPr>
            <w:tcW w:type="dxa" w:w="192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Partially Implemented</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Some elements operate, but coverage, consistency, evidence or effectiveness is incomplete.</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a targeted improvement action.</w:t>
            </w:r>
          </w:p>
        </w:tc>
      </w:tr>
      <w:tr>
        <w:tc>
          <w:tcPr>
            <w:tcW w:type="dxa" w:w="192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Not Implemented</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The required management-system element is absent or cannot be demonstrated.</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Create and implement the missing control.</w:t>
            </w:r>
          </w:p>
        </w:tc>
      </w:tr>
      <w:tr>
        <w:tc>
          <w:tcPr>
            <w:tcW w:type="dxa" w:w="192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Not Assessed</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Evidence has not yet been reviewed or the responsible process has not been assessed.</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Complete assessment before concluding.</w:t>
            </w:r>
          </w:p>
        </w:tc>
      </w:tr>
      <w:tr>
        <w:tc>
          <w:tcPr>
            <w:tcW w:type="dxa" w:w="192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N/A</w:t>
            </w:r>
          </w:p>
        </w:tc>
        <w:tc>
          <w:tcPr>
            <w:tcW w:type="dxa" w:w="4706"/>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The criterion is demonstrably not applicable within the defined EnMS scope.</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Record the rationale.</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Do not use a numerical score as a substitute for professional judgement. A simple maturity percentage can support management visibility, but critical gaps still require individual evaluation and action.</w:t>
            </w:r>
          </w:p>
        </w:tc>
      </w:tr>
    </w:tbl>
    <w:p>
      <w:pPr>
        <w:pStyle w:val="Heading2"/>
        <w:keepNext w:val="1"/>
      </w:pPr>
      <w:r>
        <w:rPr>
          <w:rFonts w:ascii="Cambria" w:hAnsi="Cambria" w:eastAsia="Cambria" w:cs="Cambria"/>
          <w:b/>
          <w:i w:val="0"/>
          <w:color w:val="000000"/>
          <w:sz w:val="23"/>
        </w:rPr>
        <w:t>5.2 Evidence Hierarchy</w:t>
      </w:r>
    </w:p>
    <w:p>
      <w:pPr>
        <w:spacing w:after="40"/>
        <w:ind w:left="283" w:hanging="170"/>
      </w:pPr>
      <w:r>
        <w:rPr>
          <w:rFonts w:ascii="Cambria" w:hAnsi="Cambria" w:eastAsia="Cambria" w:cs="Cambria"/>
          <w:b w:val="0"/>
          <w:i w:val="0"/>
          <w:color w:val="000000"/>
          <w:sz w:val="20"/>
        </w:rPr>
        <w:t>• Stronger evidence: approved records, validated energy data, operating records, meter data, completed reviews, closed actions and direct observation.</w:t>
      </w:r>
    </w:p>
    <w:p>
      <w:pPr>
        <w:spacing w:after="40"/>
        <w:ind w:left="283" w:hanging="170"/>
      </w:pPr>
      <w:r>
        <w:rPr>
          <w:rFonts w:ascii="Cambria" w:hAnsi="Cambria" w:eastAsia="Cambria" w:cs="Cambria"/>
          <w:b w:val="0"/>
          <w:i w:val="0"/>
          <w:color w:val="000000"/>
          <w:sz w:val="20"/>
        </w:rPr>
        <w:t>• Supporting evidence: interviews, draft documents and planned controls when corroborated by implementation evidence.</w:t>
      </w:r>
    </w:p>
    <w:p>
      <w:pPr>
        <w:spacing w:after="40"/>
        <w:ind w:left="283" w:hanging="170"/>
      </w:pPr>
      <w:r>
        <w:rPr>
          <w:rFonts w:ascii="Cambria" w:hAnsi="Cambria" w:eastAsia="Cambria" w:cs="Cambria"/>
          <w:b w:val="0"/>
          <w:i w:val="0"/>
          <w:color w:val="000000"/>
          <w:sz w:val="20"/>
        </w:rPr>
        <w:t>• Weak evidence: statements of intent without records, undocumented assumptions, or controls that exist only in draft form.</w:t>
      </w:r>
    </w:p>
    <w:p>
      <w:pPr>
        <w:pStyle w:val="Heading2"/>
        <w:keepNext w:val="1"/>
      </w:pPr>
      <w:r>
        <w:rPr>
          <w:rFonts w:ascii="Cambria" w:hAnsi="Cambria" w:eastAsia="Cambria" w:cs="Cambria"/>
          <w:b/>
          <w:i w:val="0"/>
          <w:color w:val="000000"/>
          <w:sz w:val="23"/>
        </w:rPr>
        <w:t>5.3 Gap Statement Structure</w:t>
      </w:r>
    </w:p>
    <w:p>
      <w:pPr>
        <w:spacing w:before="0" w:after="80" w:line="252" w:lineRule="auto"/>
      </w:pPr>
      <w:r>
        <w:rPr>
          <w:rFonts w:ascii="Cambria" w:hAnsi="Cambria" w:eastAsia="Cambria" w:cs="Cambria"/>
          <w:b w:val="0"/>
          <w:i w:val="0"/>
          <w:color w:val="000000"/>
          <w:sz w:val="21"/>
        </w:rPr>
        <w:t>Write each gap so a responsible owner can act on it without re-interpreting the assessment. A useful gap statement contains: current condition, missing or ineffective control, supporting evidence, consequence for EnMS implementation, and the required improvement outcome.</w:t>
      </w:r>
    </w:p>
    <w:p>
      <w:pPr>
        <w:pStyle w:val="Heading1"/>
        <w:keepNext w:val="1"/>
      </w:pPr>
      <w:r>
        <w:rPr>
          <w:rFonts w:ascii="Cambria" w:hAnsi="Cambria" w:eastAsia="Cambria" w:cs="Cambria"/>
          <w:b/>
          <w:i w:val="0"/>
          <w:color w:val="1F4E79"/>
          <w:sz w:val="26"/>
        </w:rPr>
        <w:t>6. Assessment Sequence</w:t>
      </w:r>
    </w:p>
    <w:p>
      <w:pPr>
        <w:spacing w:after="60"/>
        <w:ind w:left="283" w:hanging="283"/>
      </w:pPr>
      <w:r>
        <w:rPr>
          <w:rFonts w:ascii="Cambria" w:hAnsi="Cambria" w:eastAsia="Cambria" w:cs="Cambria"/>
          <w:b/>
          <w:i w:val="0"/>
          <w:color w:val="1F4E79"/>
          <w:sz w:val="21"/>
        </w:rPr>
        <w:t xml:space="preserve">1. </w:t>
      </w:r>
      <w:r>
        <w:rPr>
          <w:rFonts w:ascii="Cambria" w:hAnsi="Cambria" w:eastAsia="Cambria" w:cs="Cambria"/>
          <w:b w:val="0"/>
          <w:i w:val="0"/>
          <w:color w:val="000000"/>
          <w:sz w:val="21"/>
        </w:rPr>
        <w:t>Confirm scope, boundaries, organizational context and relevant interested-party requirements, including climate-related issues where applicable.</w:t>
      </w:r>
    </w:p>
    <w:p>
      <w:pPr>
        <w:spacing w:after="60"/>
        <w:ind w:left="283" w:hanging="283"/>
      </w:pPr>
      <w:r>
        <w:rPr>
          <w:rFonts w:ascii="Cambria" w:hAnsi="Cambria" w:eastAsia="Cambria" w:cs="Cambria"/>
          <w:b/>
          <w:i w:val="0"/>
          <w:color w:val="1F4E79"/>
          <w:sz w:val="21"/>
        </w:rPr>
        <w:t xml:space="preserve">2. </w:t>
      </w:r>
      <w:r>
        <w:rPr>
          <w:rFonts w:ascii="Cambria" w:hAnsi="Cambria" w:eastAsia="Cambria" w:cs="Cambria"/>
          <w:b w:val="0"/>
          <w:i w:val="0"/>
          <w:color w:val="000000"/>
          <w:sz w:val="21"/>
        </w:rPr>
        <w:t>Evaluate leadership, energy policy, roles, resources and integration of energy management into business processes.</w:t>
      </w:r>
    </w:p>
    <w:p>
      <w:pPr>
        <w:spacing w:after="60"/>
        <w:ind w:left="283" w:hanging="283"/>
      </w:pPr>
      <w:r>
        <w:rPr>
          <w:rFonts w:ascii="Cambria" w:hAnsi="Cambria" w:eastAsia="Cambria" w:cs="Cambria"/>
          <w:b/>
          <w:i w:val="0"/>
          <w:color w:val="1F4E79"/>
          <w:sz w:val="21"/>
        </w:rPr>
        <w:t xml:space="preserve">3. </w:t>
      </w:r>
      <w:r>
        <w:rPr>
          <w:rFonts w:ascii="Cambria" w:hAnsi="Cambria" w:eastAsia="Cambria" w:cs="Cambria"/>
          <w:b w:val="0"/>
          <w:i w:val="0"/>
          <w:color w:val="000000"/>
          <w:sz w:val="21"/>
        </w:rPr>
        <w:t>Review planning controls: risks and opportunities, energy review, significant energy uses, relevant variables, EnPIs, energy baselines, objectives and action plans.</w:t>
      </w:r>
    </w:p>
    <w:p>
      <w:pPr>
        <w:spacing w:after="60"/>
        <w:ind w:left="283" w:hanging="283"/>
      </w:pPr>
      <w:r>
        <w:rPr>
          <w:rFonts w:ascii="Cambria" w:hAnsi="Cambria" w:eastAsia="Cambria" w:cs="Cambria"/>
          <w:b/>
          <w:i w:val="0"/>
          <w:color w:val="1F4E79"/>
          <w:sz w:val="21"/>
        </w:rPr>
        <w:t xml:space="preserve">4. </w:t>
      </w:r>
      <w:r>
        <w:rPr>
          <w:rFonts w:ascii="Cambria" w:hAnsi="Cambria" w:eastAsia="Cambria" w:cs="Cambria"/>
          <w:b w:val="0"/>
          <w:i w:val="0"/>
          <w:color w:val="000000"/>
          <w:sz w:val="21"/>
        </w:rPr>
        <w:t>Review support controls: resources, competence, awareness, communication and documented information.</w:t>
      </w:r>
    </w:p>
    <w:p>
      <w:pPr>
        <w:spacing w:after="60"/>
        <w:ind w:left="283" w:hanging="283"/>
      </w:pPr>
      <w:r>
        <w:rPr>
          <w:rFonts w:ascii="Cambria" w:hAnsi="Cambria" w:eastAsia="Cambria" w:cs="Cambria"/>
          <w:b/>
          <w:i w:val="0"/>
          <w:color w:val="1F4E79"/>
          <w:sz w:val="21"/>
        </w:rPr>
        <w:t xml:space="preserve">5. </w:t>
      </w:r>
      <w:r>
        <w:rPr>
          <w:rFonts w:ascii="Cambria" w:hAnsi="Cambria" w:eastAsia="Cambria" w:cs="Cambria"/>
          <w:b w:val="0"/>
          <w:i w:val="0"/>
          <w:color w:val="000000"/>
          <w:sz w:val="21"/>
        </w:rPr>
        <w:t>Evaluate operational planning and control for SEUs, including maintenance, design and procurement interfaces.</w:t>
      </w:r>
    </w:p>
    <w:p>
      <w:pPr>
        <w:spacing w:after="60"/>
        <w:ind w:left="283" w:hanging="283"/>
      </w:pPr>
      <w:r>
        <w:rPr>
          <w:rFonts w:ascii="Cambria" w:hAnsi="Cambria" w:eastAsia="Cambria" w:cs="Cambria"/>
          <w:b/>
          <w:i w:val="0"/>
          <w:color w:val="1F4E79"/>
          <w:sz w:val="21"/>
        </w:rPr>
        <w:t xml:space="preserve">6. </w:t>
      </w:r>
      <w:r>
        <w:rPr>
          <w:rFonts w:ascii="Cambria" w:hAnsi="Cambria" w:eastAsia="Cambria" w:cs="Cambria"/>
          <w:b w:val="0"/>
          <w:i w:val="0"/>
          <w:color w:val="000000"/>
          <w:sz w:val="21"/>
        </w:rPr>
        <w:t>Review performance evaluation: monitoring, measurement, analysis, internal audit and management review.</w:t>
      </w:r>
    </w:p>
    <w:p>
      <w:pPr>
        <w:spacing w:after="60"/>
        <w:ind w:left="283" w:hanging="283"/>
      </w:pPr>
      <w:r>
        <w:rPr>
          <w:rFonts w:ascii="Cambria" w:hAnsi="Cambria" w:eastAsia="Cambria" w:cs="Cambria"/>
          <w:b/>
          <w:i w:val="0"/>
          <w:color w:val="1F4E79"/>
          <w:sz w:val="21"/>
        </w:rPr>
        <w:t xml:space="preserve">7. </w:t>
      </w:r>
      <w:r>
        <w:rPr>
          <w:rFonts w:ascii="Cambria" w:hAnsi="Cambria" w:eastAsia="Cambria" w:cs="Cambria"/>
          <w:b w:val="0"/>
          <w:i w:val="0"/>
          <w:color w:val="000000"/>
          <w:sz w:val="21"/>
        </w:rPr>
        <w:t>Review nonconformity, corrective action, continual improvement and evidence of energy performance improvement.</w:t>
      </w:r>
    </w:p>
    <w:p>
      <w:pPr>
        <w:spacing w:after="60"/>
        <w:ind w:left="283" w:hanging="283"/>
      </w:pPr>
      <w:r>
        <w:rPr>
          <w:rFonts w:ascii="Cambria" w:hAnsi="Cambria" w:eastAsia="Cambria" w:cs="Cambria"/>
          <w:b/>
          <w:i w:val="0"/>
          <w:color w:val="1F4E79"/>
          <w:sz w:val="21"/>
        </w:rPr>
        <w:t xml:space="preserve">8. </w:t>
      </w:r>
      <w:r>
        <w:rPr>
          <w:rFonts w:ascii="Cambria" w:hAnsi="Cambria" w:eastAsia="Cambria" w:cs="Cambria"/>
          <w:b w:val="0"/>
          <w:i w:val="0"/>
          <w:color w:val="000000"/>
          <w:sz w:val="21"/>
        </w:rPr>
        <w:t>Validate priority, ownership, dependencies and realistic due dates before issuing the final action plan.</w:t>
      </w:r>
    </w:p>
    <w:p>
      <w:pPr>
        <w:pStyle w:val="Heading1"/>
        <w:keepNext w:val="1"/>
      </w:pPr>
      <w:r>
        <w:rPr>
          <w:rFonts w:ascii="Cambria" w:hAnsi="Cambria" w:eastAsia="Cambria" w:cs="Cambria"/>
          <w:b/>
          <w:i w:val="0"/>
          <w:color w:val="1F4E79"/>
          <w:sz w:val="26"/>
        </w:rPr>
        <w:t>7. Energy-Specific Evaluation Points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Topic</w:t>
            </w:r>
          </w:p>
        </w:tc>
        <w:tc>
          <w:tcPr>
            <w:tcW w:type="dxa" w:w="413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Assessment Focus</w:t>
            </w:r>
          </w:p>
        </w:tc>
        <w:tc>
          <w:tcPr>
            <w:tcW w:type="dxa" w:w="294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Useful Evidence</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Review</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analysis is current, representative and sufficient to identify significant energy uses and improvement opportunities.</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data, use/consumption analysis, SEU criteria, review approvals.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Significant Energy Uses</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SEUs are identified using defined criteria and reviewed after significant changes.</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SEU ranking, consumption contribution, change reviews.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Relevant Variables &amp; Static Factors</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material factors affecting energy performance are identified and used appropriately.</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Production, weather, operating hours, capacity, configuration changes.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EnPIs</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indicators are appropriate, defined, repeatable and useful for decision-making.</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Calculation method, units, ownership, trend reports.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Baselines</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baselines are representative and adjusted or re-established using controlled criteria.</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Baseline period, normalization logic, adjustment decisions.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Data Collection Plan</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measurement points, frequency, responsibilities and data quality controls support the EnMS.</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Metering plan, meter register, data validation, calibration/verification records.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Energy Performance Improvement</w:t>
            </w:r>
          </w:p>
        </w:tc>
        <w:tc>
          <w:tcPr>
            <w:tcW w:type="dxa" w:w="413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Whether improvement is demonstrated through suitable indicators and controlled comparisons.</w:t>
            </w:r>
          </w:p>
        </w:tc>
        <w:tc>
          <w:tcPr>
            <w:tcW w:type="dxa" w:w="294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Verified savings, EnPI trends, project results, M&amp;V evidence.</w:t>
            </w:r>
          </w:p>
        </w:tc>
      </w:tr>
    </w:tbl>
    <w:p>
      <w:pPr>
        <w:pStyle w:val="Heading1"/>
        <w:keepNext w:val="1"/>
      </w:pPr>
      <w:r>
        <w:rPr>
          <w:rFonts w:ascii="Cambria" w:hAnsi="Cambria" w:eastAsia="Cambria" w:cs="Cambria"/>
          <w:b/>
          <w:i w:val="0"/>
          <w:color w:val="1F4E79"/>
          <w:sz w:val="26"/>
        </w:rPr>
        <w:t>8. Prioritization and Action Planning</w:t>
      </w:r>
    </w:p>
    <w:p>
      <w:pPr>
        <w:spacing w:before="0" w:after="80" w:line="252" w:lineRule="auto"/>
      </w:pPr>
      <w:r>
        <w:rPr>
          <w:rFonts w:ascii="Cambria" w:hAnsi="Cambria" w:eastAsia="Cambria" w:cs="Cambria"/>
          <w:b w:val="0"/>
          <w:i w:val="0"/>
          <w:color w:val="000000"/>
          <w:sz w:val="21"/>
        </w:rPr>
        <w:t>Priority should reflect implementation risk and business consequence, not only ease of closure. Consider certification readiness, energy-performance impact, legal/customer requirements, data reliability, dependency on other actions, cost, resource constraints and operational risk.</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141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Priority</w:t>
            </w:r>
          </w:p>
        </w:tc>
        <w:tc>
          <w:tcPr>
            <w:tcW w:type="dxa" w:w="5102"/>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Typical Criteria</w:t>
            </w:r>
          </w:p>
        </w:tc>
        <w:tc>
          <w:tcPr>
            <w:tcW w:type="dxa" w:w="283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Management Expectation</w:t>
            </w:r>
          </w:p>
        </w:tc>
      </w:tr>
      <w:tr>
        <w:tc>
          <w:tcPr>
            <w:tcW w:type="dxa" w:w="14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High</w:t>
            </w:r>
          </w:p>
        </w:tc>
        <w:tc>
          <w:tcPr>
            <w:tcW w:type="dxa" w:w="510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Critical system element missing; major energy-performance decision depends on the control; significant evidence gap; likely to block readiness.</w:t>
            </w:r>
          </w:p>
        </w:tc>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Immediate ownership, short due date, frequent review and escalation if blocked.</w:t>
            </w:r>
          </w:p>
        </w:tc>
      </w:tr>
      <w:tr>
        <w:tc>
          <w:tcPr>
            <w:tcW w:type="dxa" w:w="14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Medium</w:t>
            </w:r>
          </w:p>
        </w:tc>
        <w:tc>
          <w:tcPr>
            <w:tcW w:type="dxa" w:w="510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Control exists but is incomplete, inconsistent or not yet verified; improvement is important but not immediately blocking.</w:t>
            </w:r>
          </w:p>
        </w:tc>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Planned corrective/improvement action with monitored due date.</w:t>
            </w:r>
          </w:p>
        </w:tc>
      </w:tr>
      <w:tr>
        <w:tc>
          <w:tcPr>
            <w:tcW w:type="dxa" w:w="141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Low</w:t>
            </w:r>
          </w:p>
        </w:tc>
        <w:tc>
          <w:tcPr>
            <w:tcW w:type="dxa" w:w="5102"/>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Enhancement, optimization or documentation improvement with limited immediate implementation risk.</w:t>
            </w:r>
          </w:p>
        </w:tc>
        <w:tc>
          <w:tcPr>
            <w:tcW w:type="dxa" w:w="283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Integrate into routine improvement planning.</w:t>
            </w:r>
          </w:p>
        </w:tc>
      </w:tr>
    </w:tbl>
    <w:p>
      <w:pPr>
        <w:pStyle w:val="Heading1"/>
        <w:keepNext w:val="1"/>
      </w:pPr>
      <w:r>
        <w:rPr>
          <w:rFonts w:ascii="Cambria" w:hAnsi="Cambria" w:eastAsia="Cambria" w:cs="Cambria"/>
          <w:b/>
          <w:i w:val="0"/>
          <w:color w:val="1F4E79"/>
          <w:sz w:val="26"/>
        </w:rPr>
        <w:t>9. Working with the Excel Gap Analysis and Action Plan</w:t>
      </w:r>
    </w:p>
    <w:p>
      <w:pPr>
        <w:spacing w:after="40"/>
        <w:ind w:left="283" w:hanging="170"/>
      </w:pPr>
      <w:r>
        <w:rPr>
          <w:rFonts w:ascii="Cambria" w:hAnsi="Cambria" w:eastAsia="Cambria" w:cs="Cambria"/>
          <w:b w:val="0"/>
          <w:i w:val="0"/>
          <w:color w:val="000000"/>
          <w:sz w:val="20"/>
        </w:rPr>
        <w:t>• Use Data Type = Actual Data only for organizational assessment results. Keep illustrative rows clearly separated.</w:t>
      </w:r>
    </w:p>
    <w:p>
      <w:pPr>
        <w:spacing w:after="40"/>
        <w:ind w:left="283" w:hanging="170"/>
      </w:pPr>
      <w:r>
        <w:rPr>
          <w:rFonts w:ascii="Cambria" w:hAnsi="Cambria" w:eastAsia="Cambria" w:cs="Cambria"/>
          <w:b w:val="0"/>
          <w:i w:val="0"/>
          <w:color w:val="000000"/>
          <w:sz w:val="20"/>
        </w:rPr>
        <w:t>• Link each action to a Gap ID so closure can be traced back to the assessment criterion.</w:t>
      </w:r>
    </w:p>
    <w:p>
      <w:pPr>
        <w:spacing w:after="40"/>
        <w:ind w:left="283" w:hanging="170"/>
      </w:pPr>
      <w:r>
        <w:rPr>
          <w:rFonts w:ascii="Cambria" w:hAnsi="Cambria" w:eastAsia="Cambria" w:cs="Cambria"/>
          <w:b w:val="0"/>
          <w:i w:val="0"/>
          <w:color w:val="000000"/>
          <w:sz w:val="20"/>
        </w:rPr>
        <w:t>• Define deliverable/evidence and effectiveness criteria before closing an action.</w:t>
      </w:r>
    </w:p>
    <w:p>
      <w:pPr>
        <w:spacing w:after="40"/>
        <w:ind w:left="283" w:hanging="170"/>
      </w:pPr>
      <w:r>
        <w:rPr>
          <w:rFonts w:ascii="Cambria" w:hAnsi="Cambria" w:eastAsia="Cambria" w:cs="Cambria"/>
          <w:b w:val="0"/>
          <w:i w:val="0"/>
          <w:color w:val="000000"/>
          <w:sz w:val="20"/>
        </w:rPr>
        <w:t>• Do not close an action because a document was written if implementation and use were part of the intended outcome.</w:t>
      </w:r>
    </w:p>
    <w:p>
      <w:pPr>
        <w:spacing w:after="40"/>
        <w:ind w:left="283" w:hanging="170"/>
      </w:pPr>
      <w:r>
        <w:rPr>
          <w:rFonts w:ascii="Cambria" w:hAnsi="Cambria" w:eastAsia="Cambria" w:cs="Cambria"/>
          <w:b w:val="0"/>
          <w:i w:val="0"/>
          <w:color w:val="000000"/>
          <w:sz w:val="20"/>
        </w:rPr>
        <w:t>• Review overdue, blocked and high-priority actions in implementation governance meetings.</w:t>
      </w:r>
    </w:p>
    <w:p>
      <w:pPr>
        <w:pStyle w:val="Heading1"/>
        <w:keepNext w:val="1"/>
      </w:pPr>
      <w:r>
        <w:rPr>
          <w:rFonts w:ascii="Cambria" w:hAnsi="Cambria" w:eastAsia="Cambria" w:cs="Cambria"/>
          <w:b/>
          <w:i w:val="0"/>
          <w:color w:val="1F4E79"/>
          <w:sz w:val="26"/>
        </w:rPr>
        <w:t>10. Common Assessment Errors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3230"/>
        <w:gridCol w:w="3230"/>
        <w:gridCol w:w="3230"/>
      </w:tblGrid>
      <w:tr>
        <w:trPr>
          <w:tblHeader w:val="true"/>
        </w:trPr>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Common Error</w:t>
            </w:r>
          </w:p>
        </w:tc>
        <w:tc>
          <w:tcPr>
            <w:tcW w:type="dxa" w:w="351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Why It Weakens the Assessment</w:t>
            </w:r>
          </w:p>
        </w:tc>
        <w:tc>
          <w:tcPr>
            <w:tcW w:type="dxa" w:w="311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Preferred Practice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Scoring everything from interviews</w:t>
            </w:r>
          </w:p>
        </w:tc>
        <w:tc>
          <w:tcPr>
            <w:tcW w:type="dxa" w:w="351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Intent is recorded as implementation.</w:t>
            </w:r>
          </w:p>
        </w:tc>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Triangulate interview statements with documents, records, data or observation.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Treating a draft document as implemented</w:t>
            </w:r>
          </w:p>
        </w:tc>
        <w:tc>
          <w:tcPr>
            <w:tcW w:type="dxa" w:w="351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Document existence does not prove the control operates.</w:t>
            </w:r>
          </w:p>
        </w:tc>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Assess deployment, awareness and evidence of use.</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Using generic actions such as “implement ISO 50001”</w:t>
            </w:r>
          </w:p>
        </w:tc>
        <w:tc>
          <w:tcPr>
            <w:tcW w:type="dxa" w:w="351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Action cannot be assigned or verified.</w:t>
            </w:r>
          </w:p>
        </w:tc>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Define one measurable closure output per action.</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Ignoring energy data quality</w:t>
            </w:r>
          </w:p>
        </w:tc>
        <w:tc>
          <w:tcPr>
            <w:tcW w:type="dxa" w:w="351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EnPI and baseline decisions may be unreliable.</w:t>
            </w:r>
          </w:p>
        </w:tc>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Assess meter/data completeness and validation controls early.</w:t>
            </w:r>
          </w:p>
        </w:tc>
      </w:tr>
      <w:tr>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Assuming all clause areas have equal risk</w:t>
            </w:r>
          </w:p>
        </w:tc>
        <w:tc>
          <w:tcPr>
            <w:tcW w:type="dxa" w:w="351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Critical energy-performance controls can be obscured by an overall score.</w:t>
            </w:r>
          </w:p>
        </w:tc>
        <w:tc>
          <w:tcPr>
            <w:tcW w:type="dxa" w:w="311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Use priority and management judgement in addition to summary percentages.</w:t>
            </w:r>
          </w:p>
        </w:tc>
      </w:tr>
    </w:tbl>
    <w:p>
      <w:pPr>
        <w:pStyle w:val="Heading1"/>
        <w:keepNext w:val="1"/>
      </w:pPr>
      <w:r>
        <w:rPr>
          <w:rFonts w:ascii="Cambria" w:hAnsi="Cambria" w:eastAsia="Cambria" w:cs="Cambria"/>
          <w:b/>
          <w:i w:val="0"/>
          <w:color w:val="1F4E79"/>
          <w:sz w:val="26"/>
        </w:rPr>
        <w:t>11. Deliverables and Closure</w:t>
      </w:r>
    </w:p>
    <w:p>
      <w:pPr>
        <w:spacing w:after="40"/>
        <w:ind w:left="283" w:hanging="170"/>
      </w:pPr>
      <w:r>
        <w:rPr>
          <w:rFonts w:ascii="Cambria" w:hAnsi="Cambria" w:eastAsia="Cambria" w:cs="Cambria"/>
          <w:b w:val="0"/>
          <w:i w:val="0"/>
          <w:color w:val="000000"/>
          <w:sz w:val="20"/>
        </w:rPr>
        <w:t>• Completed gap analysis with evidence-based status for assessed criteria.</w:t>
      </w:r>
    </w:p>
    <w:p>
      <w:pPr>
        <w:spacing w:after="40"/>
        <w:ind w:left="283" w:hanging="170"/>
      </w:pPr>
      <w:r>
        <w:rPr>
          <w:rFonts w:ascii="Cambria" w:hAnsi="Cambria" w:eastAsia="Cambria" w:cs="Cambria"/>
          <w:b w:val="0"/>
          <w:i w:val="0"/>
          <w:color w:val="000000"/>
          <w:sz w:val="20"/>
        </w:rPr>
        <w:t>• Validated list of gaps and improvement opportunities.</w:t>
      </w:r>
    </w:p>
    <w:p>
      <w:pPr>
        <w:spacing w:after="40"/>
        <w:ind w:left="283" w:hanging="170"/>
      </w:pPr>
      <w:r>
        <w:rPr>
          <w:rFonts w:ascii="Cambria" w:hAnsi="Cambria" w:eastAsia="Cambria" w:cs="Cambria"/>
          <w:b w:val="0"/>
          <w:i w:val="0"/>
          <w:color w:val="000000"/>
          <w:sz w:val="20"/>
        </w:rPr>
        <w:t>• Prioritized action plan with owner, due date, evidence requirement and effectiveness criteria.</w:t>
      </w:r>
    </w:p>
    <w:p>
      <w:pPr>
        <w:spacing w:after="40"/>
        <w:ind w:left="283" w:hanging="170"/>
      </w:pPr>
      <w:r>
        <w:rPr>
          <w:rFonts w:ascii="Cambria" w:hAnsi="Cambria" w:eastAsia="Cambria" w:cs="Cambria"/>
          <w:b w:val="0"/>
          <w:i w:val="0"/>
          <w:color w:val="000000"/>
          <w:sz w:val="20"/>
        </w:rPr>
        <w:t>• Management summary of critical implementation dependencies and resourcing needs.</w:t>
      </w:r>
    </w:p>
    <w:p>
      <w:pPr>
        <w:spacing w:after="40"/>
        <w:ind w:left="283" w:hanging="170"/>
      </w:pPr>
      <w:r>
        <w:rPr>
          <w:rFonts w:ascii="Cambria" w:hAnsi="Cambria" w:eastAsia="Cambria" w:cs="Cambria"/>
          <w:b w:val="0"/>
          <w:i w:val="0"/>
          <w:color w:val="000000"/>
          <w:sz w:val="20"/>
        </w:rPr>
        <w:t>• Agreed date for reassessment or readiness review.</w:t>
      </w:r>
    </w:p>
    <w:p>
      <w:pPr>
        <w:pStyle w:val="Heading1"/>
        <w:keepNext w:val="1"/>
      </w:pPr>
      <w:r>
        <w:rPr>
          <w:rFonts w:ascii="Cambria" w:hAnsi="Cambria" w:eastAsia="Cambria" w:cs="Cambria"/>
          <w:b/>
          <w:i w:val="0"/>
          <w:color w:val="1F4E79"/>
          <w:sz w:val="26"/>
        </w:rPr>
        <w:t>References</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3685"/>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Reference</w:t>
            </w:r>
          </w:p>
        </w:tc>
        <w:tc>
          <w:tcPr>
            <w:tcW w:type="dxa" w:w="5669"/>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Official Source</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https://www.iso.org/standard/69426.html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50001:2018/Amd 1:2024</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https://www.iso.org/standard/88430.html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50004:2020</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https://www.iso.org/standard/74863.html</w:t>
            </w:r>
          </w:p>
        </w:tc>
      </w:tr>
      <w:tr>
        <w:tc>
          <w:tcPr>
            <w:tcW w:type="dxa" w:w="3685"/>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ISO 50006:2023</w:t>
            </w:r>
          </w:p>
        </w:tc>
        <w:tc>
          <w:tcPr>
            <w:tcW w:type="dxa" w:w="5669"/>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https://www.iso.org/standard/79367.html</w:t>
            </w:r>
          </w:p>
        </w:tc>
      </w:tr>
    </w:tbl>
    <w:tbl>
      <w:tblPr>
        <w:tblW w:type="auto" w:w="0"/>
        <w:jc w:val="center"/>
        <w:tblLayout w:type="autofit"/>
        <w:tblLook w:firstColumn="1" w:firstRow="1" w:lastColumn="0" w:lastRow="0" w:noHBand="0" w:noVBand="1" w:val="04A0"/>
        <w:tblBorders>
          <w:top w:val="single" w:sz="4" w:space="0" w:color="D6B656"/>
          <w:left w:val="single" w:sz="4" w:space="0" w:color="D6B656"/>
          <w:bottom w:val="single" w:sz="4" w:space="0" w:color="D6B656"/>
          <w:right w:val="single" w:sz="4" w:space="0" w:color="D6B656"/>
          <w:insideH w:val="single" w:sz="4" w:space="0" w:color="D6B656"/>
          <w:insideV w:val="single" w:sz="4" w:space="0" w:color="D6B656"/>
        </w:tblBorders>
      </w:tblPr>
      <w:tblGrid>
        <w:gridCol w:w="9689"/>
      </w:tblGrid>
      <w:tr>
        <w:tc>
          <w:tcPr>
            <w:tcW w:type="dxa" w:w="9689"/>
            <w:shd w:fill="FFF2CC" w:val="clear"/>
            <w:tcMar>
              <w:top w:w="70" w:type="dxa"/>
              <w:left w:w="90" w:type="dxa"/>
              <w:bottom w:w="70" w:type="dxa"/>
              <w:right w:w="90" w:type="dxa"/>
            </w:tcMar>
          </w:tcPr>
          <w:p>
            <w:pPr>
              <w:spacing w:before="0" w:after="0" w:line="240" w:lineRule="auto"/>
            </w:pPr>
            <w:r>
              <w:rPr>
                <w:rFonts w:ascii="Cambria" w:hAnsi="Cambria" w:eastAsia="Cambria" w:cs="Cambria"/>
                <w:b/>
                <w:i/>
                <w:color w:val="C00000"/>
                <w:sz w:val="19"/>
              </w:rPr>
              <w:t xml:space="preserve">[Note] </w:t>
            </w:r>
            <w:r>
              <w:rPr>
                <w:rFonts w:ascii="Cambria" w:hAnsi="Cambria" w:eastAsia="Cambria" w:cs="Cambria"/>
                <w:b w:val="0"/>
                <w:i/>
                <w:color w:val="C00000"/>
                <w:sz w:val="19"/>
              </w:rPr>
              <w:t>Use the organization's licensed copy of applicable standards for authoritative requirements. This toolkit paraphrases requirements and does not reproduce copyrighted standard text.</w:t>
            </w:r>
          </w:p>
        </w:tc>
      </w:tr>
    </w:tbl>
    <w:p>
      <w:pPr>
        <w:pStyle w:val="Heading1"/>
        <w:keepNext w:val="1"/>
      </w:pPr>
      <w:r>
        <w:rPr>
          <w:rFonts w:ascii="Cambria" w:hAnsi="Cambria" w:eastAsia="Cambria" w:cs="Cambria"/>
          <w:b/>
          <w:i w:val="0"/>
          <w:color w:val="1F4E79"/>
          <w:sz w:val="26"/>
        </w:rPr>
        <w:t>Revision and Approval</w:t>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1615"/>
        <w:gridCol w:w="1615"/>
        <w:gridCol w:w="1615"/>
        <w:gridCol w:w="1615"/>
        <w:gridCol w:w="1615"/>
        <w:gridCol w:w="1615"/>
      </w:tblGrid>
      <w:tr>
        <w:trPr>
          <w:tblHeader w:val="true"/>
        </w:trPr>
        <w:tc>
          <w:tcPr>
            <w:tcW w:type="dxa" w:w="794"/>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Version</w:t>
            </w:r>
          </w:p>
        </w:tc>
        <w:tc>
          <w:tcPr>
            <w:tcW w:type="dxa" w:w="124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Date</w:t>
            </w:r>
          </w:p>
        </w:tc>
        <w:tc>
          <w:tcPr>
            <w:tcW w:type="dxa" w:w="2721"/>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Description</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Prepared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Reviewed By</w:t>
            </w:r>
          </w:p>
        </w:tc>
        <w:tc>
          <w:tcPr>
            <w:tcW w:type="dxa" w:w="15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7"/>
              </w:rPr>
              <w:t>Approved By</w:t>
            </w:r>
          </w:p>
        </w:tc>
      </w:tr>
      <w:tr>
        <w:tc>
          <w:tcPr>
            <w:tcW w:type="dxa" w:w="794"/>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1.0</w:t>
            </w:r>
          </w:p>
        </w:tc>
        <w:tc>
          <w:tcPr>
            <w:tcW w:type="dxa" w:w="124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2026-09-19</w:t>
            </w:r>
          </w:p>
        </w:tc>
        <w:tc>
          <w:tcPr>
            <w:tcW w:type="dxa" w:w="2721"/>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Initial issue</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[PREPARED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[REVIEWED BY]</w:t>
            </w:r>
          </w:p>
        </w:tc>
        <w:tc>
          <w:tcPr>
            <w:tcW w:type="dxa" w:w="15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7"/>
              </w:rPr>
              <w:t>[APPROVER]</w:t>
            </w:r>
          </w:p>
        </w:tc>
      </w:tr>
    </w:tbl>
    <w:p>
      <w:pPr>
        <w:spacing w:before="0" w:after="80" w:line="252" w:lineRule="auto"/>
      </w:pPr>
      <w:r>
        <w:rPr>
          <w:rFonts w:ascii="Cambria" w:hAnsi="Cambria" w:eastAsia="Cambria" w:cs="Cambria"/>
          <w:b w:val="0"/>
          <w:i w:val="0"/>
          <w:color w:val="000000"/>
          <w:sz w:val="21"/>
        </w:rPr>
      </w:r>
    </w:p>
    <w:tbl>
      <w:tblPr>
        <w:tblW w:type="auto" w:w="0"/>
        <w:jc w:val="center"/>
        <w:tblLayout w:type="fixed"/>
        <w:tblLook w:firstColumn="1" w:firstRow="1" w:lastColumn="0" w:lastRow="0" w:noHBand="0" w:noVBand="1" w:val="04A0"/>
        <w:tblBorders>
          <w:top w:val="single" w:sz="4" w:space="0" w:color="B7C3CC"/>
          <w:left w:val="single" w:sz="4" w:space="0" w:color="B7C3CC"/>
          <w:bottom w:val="single" w:sz="4" w:space="0" w:color="B7C3CC"/>
          <w:right w:val="single" w:sz="4" w:space="0" w:color="B7C3CC"/>
          <w:insideH w:val="single" w:sz="4" w:space="0" w:color="B7C3CC"/>
          <w:insideV w:val="single" w:sz="4" w:space="0" w:color="B7C3CC"/>
        </w:tblBorders>
      </w:tblPr>
      <w:tblGrid>
        <w:gridCol w:w="4844"/>
        <w:gridCol w:w="4844"/>
      </w:tblGrid>
      <w:tr>
        <w:trPr>
          <w:tblHeader w:val="true"/>
        </w:trPr>
        <w:tc>
          <w:tcPr>
            <w:tcW w:type="dxa" w:w="2268"/>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Control Field</w:t>
            </w:r>
          </w:p>
        </w:tc>
        <w:tc>
          <w:tcPr>
            <w:tcW w:type="dxa" w:w="7087"/>
            <w:shd w:fill="D9EAF7" w:val="clear"/>
            <w:tcMar>
              <w:top w:w="80" w:type="dxa"/>
              <w:left w:w="90" w:type="dxa"/>
              <w:bottom w:w="80" w:type="dxa"/>
              <w:right w:w="90" w:type="dxa"/>
            </w:tcMar>
            <w:vAlign w:val="center"/>
          </w:tcPr>
          <w:p>
            <w:pPr>
              <w:spacing w:before="0" w:after="0" w:line="240" w:lineRule="auto"/>
              <w:jc w:val="center"/>
            </w:pPr>
            <w:r>
              <w:rPr>
                <w:rFonts w:ascii="Cambria" w:hAnsi="Cambria" w:eastAsia="Cambria" w:cs="Cambria"/>
                <w:b/>
                <w:i w:val="0"/>
                <w:color w:val="000000"/>
                <w:sz w:val="18"/>
              </w:rPr>
              <w:t>Requirement</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Document Code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EnMS-GUI-001</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Review Cycle</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Annual or upon significant change</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Retention Period</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As defined by the organization's record retention requirements</w:t>
            </w:r>
          </w:p>
        </w:tc>
      </w:tr>
      <w:tr>
        <w:tc>
          <w:tcPr>
            <w:tcW w:type="dxa" w:w="2268"/>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Classification</w:t>
            </w:r>
          </w:p>
        </w:tc>
        <w:tc>
          <w:tcPr>
            <w:tcW w:type="dxa" w:w="7087"/>
            <w:tcMar>
              <w:top w:w="80" w:type="dxa"/>
              <w:left w:w="90" w:type="dxa"/>
              <w:bottom w:w="80" w:type="dxa"/>
              <w:right w:w="90" w:type="dxa"/>
            </w:tcMar>
            <w:vAlign w:val="top"/>
          </w:tcPr>
          <w:p>
            <w:pPr>
              <w:spacing w:before="0" w:after="0" w:line="240" w:lineRule="auto"/>
            </w:pPr>
            <w:r>
              <w:rPr>
                <w:rFonts w:ascii="Cambria" w:hAnsi="Cambria" w:eastAsia="Cambria" w:cs="Cambria"/>
                <w:b w:val="0"/>
                <w:i w:val="0"/>
                <w:color w:val="000000"/>
                <w:sz w:val="18"/>
              </w:rPr>
              <w:t>INTERNAL</w:t>
            </w:r>
          </w:p>
        </w:tc>
      </w:tr>
    </w:tbl>
    <w:sectPr w:rsidR="00FC693F" w:rsidRPr="0006063C" w:rsidSect="00034616">
      <w:headerReference w:type="default" r:id="rId9"/>
      <w:footerReference w:type="default" r:id="rId10"/>
      <w:pgSz w:w="12240" w:h="15840"/>
      <w:pgMar w:top="1134" w:right="1134" w:bottom="1134" w:left="1417"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jc w:val="center"/>
    </w:pPr>
    <w:r>
      <w:rPr>
        <w:rFonts w:ascii="Cambria" w:hAnsi="Cambria" w:eastAsia="Cambria" w:cs="Cambria"/>
        <w:b w:val="0"/>
        <w:i w:val="0"/>
        <w:color w:val="666666"/>
        <w:sz w:val="16"/>
      </w:rPr>
      <w:t xml:space="preserve">www.iso-toolkits.org  |  info@iso-toolkits.org  |  Page </w:t>
    </w:r>
    <w:r>
      <w:rPr>
        <w:rFonts w:ascii="Cambria" w:hAnsi="Cambria" w:eastAsia="Cambria" w:cs="Cambria"/>
        <w:b w:val="0"/>
        <w:i w:val="0"/>
        <w:color w:val="666666"/>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pPr>
  </w:p>
  <w:tbl>
    <w:tblPr>
      <w:tblW w:type="auto" w:w="0"/>
      <w:jc w:val="center"/>
      <w:tblLayout w:type="fixed"/>
      <w:tblLook w:firstColumn="1" w:firstRow="1" w:lastColumn="0" w:lastRow="0" w:noHBand="0" w:noVBand="1" w:val="04A0"/>
      <w:tblBorders>
        <w:top w:val="single" w:sz="3" w:space="0" w:color="D9E1E8"/>
        <w:left w:val="single" w:sz="3" w:space="0" w:color="D9E1E8"/>
        <w:bottom w:val="single" w:sz="3" w:space="0" w:color="D9E1E8"/>
        <w:right w:val="single" w:sz="3" w:space="0" w:color="D9E1E8"/>
        <w:insideH w:val="single" w:sz="3" w:space="0" w:color="D9E1E8"/>
        <w:insideV w:val="single" w:sz="3" w:space="0" w:color="D9E1E8"/>
      </w:tblBorders>
    </w:tblPr>
    <w:tblGrid>
      <w:gridCol w:w="1984"/>
      <w:gridCol w:w="4819"/>
      <w:gridCol w:w="2551"/>
    </w:tblGrid>
    <w:tr>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ORGANIZATION LOGO</w:t>
          </w:r>
        </w:p>
      </w:tc>
      <w:tc>
        <w:tcPr>
          <w:tcW w:type="dxa" w:w="3118"/>
          <w:tcMar>
            <w:top w:w="50" w:type="dxa"/>
            <w:left w:w="70" w:type="dxa"/>
            <w:bottom w:w="50" w:type="dxa"/>
            <w:right w:w="70" w:type="dxa"/>
          </w:tcMar>
          <w:vAlign w:val="center"/>
        </w:tcPr>
        <w:p>
          <w:pPr>
            <w:spacing w:before="0" w:after="0" w:line="240" w:lineRule="auto"/>
            <w:jc w:val="center"/>
          </w:pPr>
          <w:r>
            <w:rPr>
              <w:rFonts w:ascii="Cambria" w:hAnsi="Cambria" w:eastAsia="Cambria" w:cs="Cambria"/>
              <w:b/>
              <w:i w:val="0"/>
              <w:color w:val="1F4E79"/>
              <w:sz w:val="17"/>
            </w:rPr>
            <w:t>[ORGANIZATION NAME]</w:t>
            <w:br/>
            <w:t>Energy Gap Analysis Guidance</w:t>
          </w:r>
        </w:p>
      </w:tc>
      <w:tc>
        <w:tcPr>
          <w:tcW w:type="dxa" w:w="3118"/>
          <w:tcMar>
            <w:top w:w="50" w:type="dxa"/>
            <w:left w:w="70" w:type="dxa"/>
            <w:bottom w:w="50" w:type="dxa"/>
            <w:right w:w="70" w:type="dxa"/>
          </w:tcMar>
          <w:vAlign w:val="center"/>
        </w:tcPr>
        <w:p>
          <w:pPr>
            <w:spacing w:before="0" w:after="0" w:line="240" w:lineRule="auto"/>
            <w:jc w:val="left"/>
          </w:pPr>
          <w:r>
            <w:rPr>
              <w:rFonts w:ascii="Cambria" w:hAnsi="Cambria" w:eastAsia="Cambria" w:cs="Cambria"/>
              <w:b w:val="0"/>
              <w:i w:val="0"/>
              <w:color w:val="000000"/>
              <w:sz w:val="16"/>
            </w:rPr>
            <w:t>EnMS-GUI-001</w:t>
            <w:br/>
            <w:t>Version 1.0</w:t>
            <w:br/>
            <w:t>Effective: 2026-09-19</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Cambria" w:hAnsi="Cambria"/>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mbria" w:hAnsi="Cambria"/>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mbria" w:hAnsi="Cambria"/>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Cambria" w:hAnsi="Cambria"/>
      <w:b/>
      <w:color w:val="1F4E79"/>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Gap Analysis Guidance</dc:title>
  <dc:subject>Guidance for planning, conducting and closing an ISO 50001 energy management gap analysis.</dc:subject>
  <dc:creator>ISO Toolkits</dc:creator>
  <cp:keywords>ISO 50001, EnMS, gap analysis, energy management, implementation</cp:keywords>
  <dc:description>ISO 50001 toolkit document. Website: www.iso-toolkits.org; Email: info@iso-toolkits.org</dc:description>
  <cp:lastModifiedBy>ISO Toolkits</cp:lastModifiedBy>
  <cp:revision>1</cp:revision>
  <dcterms:created xsi:type="dcterms:W3CDTF">2013-12-23T23:15:00Z</dcterms:created>
  <dcterms:modified xsi:type="dcterms:W3CDTF">2013-12-23T23:15:00Z</dcterms:modified>
  <cp:category>ISO 50001 Energy Management System</cp:category>
</cp:coreProperties>
</file>