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spacing w:before="1100" w:after="240"/>
        <w:jc w:val="center"/>
      </w:pPr>
      <w:r>
        <w:rPr>
          <w:rFonts w:ascii="Cambria" w:hAnsi="Cambria" w:eastAsia="Cambria" w:cs="Cambria"/>
          <w:b/>
          <w:i w:val="0"/>
          <w:color w:val="1F4E79"/>
          <w:sz w:val="42"/>
        </w:rPr>
        <w:t>Energy Audit Guidance</w:t>
      </w:r>
    </w:p>
    <w:p>
      <w:pPr>
        <w:spacing w:after="560"/>
        <w:jc w:val="center"/>
      </w:pPr>
      <w:r>
        <w:rPr>
          <w:rFonts w:ascii="Cambria" w:hAnsi="Cambria" w:eastAsia="Cambria" w:cs="Cambria"/>
          <w:b w:val="0"/>
          <w:i w:val="0"/>
          <w:color w:val="555555"/>
          <w:sz w:val="22"/>
        </w:rPr>
        <w:t>Energy Audit and Energy Performance Improvement</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118"/>
        <w:gridCol w:w="5386"/>
      </w:tblGrid>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Document Code</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EnMS-GUI-003</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Version</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1.0</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Effective Date</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2026-09-19</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Classification</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INTERNAL</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Document Owner</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Energy Manager / Energy Audit Lead</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Approved By</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[APPROVER]</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Applicable Standard</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ISO 50001:2018 + Amendment 1:2024</w:t>
            </w:r>
          </w:p>
        </w:tc>
      </w:tr>
    </w:tbl>
    <w:p>
      <w:pPr>
        <w:spacing w:before="480"/>
        <w:jc w:val="center"/>
      </w:pPr>
      <w:r>
        <w:rPr>
          <w:rFonts w:ascii="Cambria" w:hAnsi="Cambria" w:eastAsia="Cambria" w:cs="Cambria"/>
          <w:b/>
          <w:i w:val="0"/>
          <w:color w:val="1F4E79"/>
          <w:sz w:val="19"/>
        </w:rPr>
        <w:t>ISO TOOLKITS DOCUMENT</w:t>
      </w:r>
    </w:p>
    <w:p>
      <w:pPr>
        <w:jc w:val="center"/>
      </w:pPr>
      <w:r>
        <w:rPr>
          <w:rFonts w:ascii="Cambria" w:hAnsi="Cambria" w:eastAsia="Cambria" w:cs="Cambria"/>
          <w:b w:val="0"/>
          <w:i w:val="0"/>
          <w:color w:val="666666"/>
          <w:sz w:val="17"/>
        </w:rPr>
        <w:t>Website: www.iso-toolkits.org | Email: info@iso-toolkits.org</w:t>
      </w:r>
    </w:p>
    <w:p>
      <w:r>
        <w:br w:type="page"/>
      </w:r>
    </w:p>
    <w:p>
      <w:pPr>
        <w:pStyle w:val="Heading1"/>
        <w:keepNext w:val="1"/>
      </w:pPr>
      <w:r>
        <w:rPr>
          <w:rFonts w:ascii="Cambria" w:hAnsi="Cambria" w:eastAsia="Cambria" w:cs="Cambria"/>
          <w:b/>
          <w:i w:val="0"/>
          <w:color w:val="1F4E79"/>
          <w:sz w:val="26"/>
        </w:rPr>
        <w:t>1. Purpose</w:t>
      </w:r>
    </w:p>
    <w:p>
      <w:pPr>
        <w:spacing w:before="0" w:after="80" w:line="252" w:lineRule="auto"/>
      </w:pPr>
      <w:r>
        <w:rPr>
          <w:rFonts w:ascii="Cambria" w:hAnsi="Cambria" w:eastAsia="Cambria" w:cs="Cambria"/>
          <w:b w:val="0"/>
          <w:i w:val="0"/>
          <w:color w:val="000000"/>
          <w:sz w:val="21"/>
        </w:rPr>
        <w:t>This guidance provides a practical method for planning and conducting technical energy audits that evaluate energy use, consumption and performance, identify Energy Performance Improvement Actions (EPIAs), and support investment and EnMS decisions.</w:t>
      </w:r>
    </w:p>
    <w:p>
      <w:pPr>
        <w:pStyle w:val="Heading1"/>
        <w:keepNext w:val="1"/>
      </w:pPr>
      <w:r>
        <w:rPr>
          <w:rFonts w:ascii="Cambria" w:hAnsi="Cambria" w:eastAsia="Cambria" w:cs="Cambria"/>
          <w:b/>
          <w:i w:val="0"/>
          <w:color w:val="1F4E79"/>
          <w:sz w:val="26"/>
        </w:rPr>
        <w:t>2. Relationship to ISO 50001 Internal Auditing</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255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Activity</w:t>
            </w:r>
          </w:p>
        </w:tc>
        <w:tc>
          <w:tcPr>
            <w:tcW w:type="dxa" w:w="4422"/>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Primary Purpose</w:t>
            </w:r>
          </w:p>
        </w:tc>
        <w:tc>
          <w:tcPr>
            <w:tcW w:type="dxa" w:w="238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Typical Output</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Internal EnMS Audit</w:t>
            </w:r>
          </w:p>
        </w:tc>
        <w:tc>
          <w:tcPr>
            <w:tcW w:type="dxa" w:w="442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Evaluate whether the management system conforms to planned arrangements and is effectively implemented.</w:t>
            </w:r>
          </w:p>
        </w:tc>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Audit report, nonconformities, opportunities and corrective actions.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Technical Energy Audit</w:t>
            </w:r>
          </w:p>
        </w:tc>
        <w:tc>
          <w:tcPr>
            <w:tcW w:type="dxa" w:w="442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Analyze how energy is used and identify technically/economically practical opportunities to improve energy performance.</w:t>
            </w:r>
          </w:p>
        </w:tc>
        <w:tc>
          <w:tcPr>
            <w:tcW w:type="dxa" w:w="238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balance, opportunity list, savings estimates, business cases and measurement recommendations.</w:t>
            </w:r>
          </w:p>
        </w:tc>
      </w:tr>
    </w:tbl>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Do not use technical energy-audit findings as a substitute for internal EnMS audit conclusions. The two activities can share evidence but have different objectives and competence requirements.</w:t>
            </w:r>
          </w:p>
        </w:tc>
      </w:tr>
    </w:tbl>
    <w:p>
      <w:pPr>
        <w:pStyle w:val="Heading1"/>
        <w:keepNext w:val="1"/>
      </w:pPr>
      <w:r>
        <w:rPr>
          <w:rFonts w:ascii="Cambria" w:hAnsi="Cambria" w:eastAsia="Cambria" w:cs="Cambria"/>
          <w:b/>
          <w:i w:val="0"/>
          <w:color w:val="1F4E79"/>
          <w:sz w:val="26"/>
        </w:rPr>
        <w:t>3. Audit Governance and Roles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55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Role</w:t>
            </w:r>
          </w:p>
        </w:tc>
        <w:tc>
          <w:tcPr>
            <w:tcW w:type="dxa" w:w="6803"/>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Responsibility</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Audit Sponsor / Client</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Approve objectives, scope, boundaries, decision criteria and access to resources/data.</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Energy Audit Lead</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Plan audit methodology, direct fieldwork and analysis, manage assumptions, review opportunity calculations and issue the report.</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Technical Specialists</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Analyze specific systems such as boilers, steam, HVAC, refrigeration, compressed air, motors, buildings, transport or process equipment.</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Site / Process Owners</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Provide operating knowledge, records, constraints and validation of proposed actions.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Finance / Investment</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Confirm cost assumptions, financial criteria and investment treatment where required.</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Energy Manager</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Integrate accepted opportunities into the EnMS energy review, objectives and improvement programme.</w:t>
            </w:r>
          </w:p>
        </w:tc>
      </w:tr>
    </w:tbl>
    <w:p>
      <w:pPr>
        <w:pStyle w:val="Heading1"/>
        <w:keepNext w:val="1"/>
      </w:pPr>
      <w:r>
        <w:rPr>
          <w:rFonts w:ascii="Cambria" w:hAnsi="Cambria" w:eastAsia="Cambria" w:cs="Cambria"/>
          <w:b/>
          <w:i w:val="0"/>
          <w:color w:val="1F4E79"/>
          <w:sz w:val="26"/>
        </w:rPr>
        <w:t>4. Define Audit Objective, Scope and Depth</w:t>
      </w:r>
    </w:p>
    <w:p>
      <w:pPr>
        <w:spacing w:before="0" w:after="80" w:line="252" w:lineRule="auto"/>
      </w:pPr>
      <w:r>
        <w:rPr>
          <w:rFonts w:ascii="Cambria" w:hAnsi="Cambria" w:eastAsia="Cambria" w:cs="Cambria"/>
          <w:b w:val="0"/>
          <w:i w:val="0"/>
          <w:color w:val="000000"/>
          <w:sz w:val="21"/>
        </w:rPr>
        <w:t>Define the audit question before collecting data. The scope should identify sites, systems, processes, energy types, operating periods and decision requirements. Audit depth should be proportionate to the decision: a rapid opportunity screen requires less data and uncertainty analysis than an investment-grade engineering study.</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83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Scoping Question</w:t>
            </w:r>
          </w:p>
        </w:tc>
        <w:tc>
          <w:tcPr>
            <w:tcW w:type="dxa" w:w="6520"/>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Examples</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Why is the audit required?</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Energy-review support; cost reduction; SEU optimization; capital planning; abnormal performance investigation; decarbonization planning.</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What is included?</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Whole site, building, production process, utilities system, asset group or defined transport activity.</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Which energy sources?</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Electricity, natural gas, steam, chilled water, compressed air, fuels, renewable generation or other energy carriers.</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What decisions must the audit support?</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No/low-cost actions, maintenance priorities, control changes, retrofit design, capital investment or measurement plan.</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What constraints apply?</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Production windows, safety, hygiene, data access, shutdown availability, product quality, contractual limitations.</w:t>
            </w:r>
          </w:p>
        </w:tc>
      </w:tr>
    </w:tbl>
    <w:p>
      <w:pPr>
        <w:pStyle w:val="Heading1"/>
        <w:keepNext w:val="1"/>
      </w:pPr>
      <w:r>
        <w:rPr>
          <w:rFonts w:ascii="Cambria" w:hAnsi="Cambria" w:eastAsia="Cambria" w:cs="Cambria"/>
          <w:b/>
          <w:i w:val="0"/>
          <w:color w:val="1F4E79"/>
          <w:sz w:val="26"/>
        </w:rPr>
        <w:t>5. Pre-Audit Data Collection</w:t>
      </w:r>
    </w:p>
    <w:p>
      <w:pPr>
        <w:spacing w:after="40"/>
        <w:ind w:left="283" w:hanging="170"/>
      </w:pPr>
      <w:r>
        <w:rPr>
          <w:rFonts w:ascii="Cambria" w:hAnsi="Cambria" w:eastAsia="Cambria" w:cs="Cambria"/>
          <w:b w:val="0"/>
          <w:i w:val="0"/>
          <w:color w:val="000000"/>
          <w:sz w:val="20"/>
        </w:rPr>
        <w:t>• At least a representative history of utility, fuel and meter data suitable for the audit scope.</w:t>
      </w:r>
    </w:p>
    <w:p>
      <w:pPr>
        <w:spacing w:after="40"/>
        <w:ind w:left="283" w:hanging="170"/>
      </w:pPr>
      <w:r>
        <w:rPr>
          <w:rFonts w:ascii="Cambria" w:hAnsi="Cambria" w:eastAsia="Cambria" w:cs="Cambria"/>
          <w:b w:val="0"/>
          <w:i w:val="0"/>
          <w:color w:val="000000"/>
          <w:sz w:val="20"/>
        </w:rPr>
        <w:t>• Production, throughput, occupancy, weather, operating hours or other relevant variables when they influence energy use.</w:t>
      </w:r>
    </w:p>
    <w:p>
      <w:pPr>
        <w:spacing w:after="40"/>
        <w:ind w:left="283" w:hanging="170"/>
      </w:pPr>
      <w:r>
        <w:rPr>
          <w:rFonts w:ascii="Cambria" w:hAnsi="Cambria" w:eastAsia="Cambria" w:cs="Cambria"/>
          <w:b w:val="0"/>
          <w:i w:val="0"/>
          <w:color w:val="000000"/>
          <w:sz w:val="20"/>
        </w:rPr>
        <w:t>• Equipment lists, rated capacities, operating schedules and maintenance history.</w:t>
      </w:r>
    </w:p>
    <w:p>
      <w:pPr>
        <w:spacing w:after="40"/>
        <w:ind w:left="283" w:hanging="170"/>
      </w:pPr>
      <w:r>
        <w:rPr>
          <w:rFonts w:ascii="Cambria" w:hAnsi="Cambria" w:eastAsia="Cambria" w:cs="Cambria"/>
          <w:b w:val="0"/>
          <w:i w:val="0"/>
          <w:color w:val="000000"/>
          <w:sz w:val="20"/>
        </w:rPr>
        <w:t>• Process flow diagrams, single-line diagrams, control narratives and design information where available.</w:t>
      </w:r>
    </w:p>
    <w:p>
      <w:pPr>
        <w:spacing w:after="40"/>
        <w:ind w:left="283" w:hanging="170"/>
      </w:pPr>
      <w:r>
        <w:rPr>
          <w:rFonts w:ascii="Cambria" w:hAnsi="Cambria" w:eastAsia="Cambria" w:cs="Cambria"/>
          <w:b w:val="0"/>
          <w:i w:val="0"/>
          <w:color w:val="000000"/>
          <w:sz w:val="20"/>
        </w:rPr>
        <w:t>• Tariffs, demand charges and other financial inputs needed for cost analysis.</w:t>
      </w:r>
    </w:p>
    <w:p>
      <w:pPr>
        <w:spacing w:after="40"/>
        <w:ind w:left="283" w:hanging="170"/>
      </w:pPr>
      <w:r>
        <w:rPr>
          <w:rFonts w:ascii="Cambria" w:hAnsi="Cambria" w:eastAsia="Cambria" w:cs="Cambria"/>
          <w:b w:val="0"/>
          <w:i w:val="0"/>
          <w:color w:val="000000"/>
          <w:sz w:val="20"/>
        </w:rPr>
        <w:t>• Prior energy audits, improvement projects, EnPI/baseline data and known operational issues.</w:t>
      </w:r>
    </w:p>
    <w:p>
      <w:pPr>
        <w:pStyle w:val="Heading2"/>
        <w:keepNext w:val="1"/>
      </w:pPr>
      <w:r>
        <w:rPr>
          <w:rFonts w:ascii="Cambria" w:hAnsi="Cambria" w:eastAsia="Cambria" w:cs="Cambria"/>
          <w:b/>
          <w:i w:val="0"/>
          <w:color w:val="000000"/>
          <w:sz w:val="23"/>
        </w:rPr>
        <w:t>5.1 Data Quality Review</w:t>
      </w:r>
    </w:p>
    <w:p>
      <w:pPr>
        <w:spacing w:before="0" w:after="80" w:line="252" w:lineRule="auto"/>
      </w:pPr>
      <w:r>
        <w:rPr>
          <w:rFonts w:ascii="Cambria" w:hAnsi="Cambria" w:eastAsia="Cambria" w:cs="Cambria"/>
          <w:b w:val="0"/>
          <w:i w:val="0"/>
          <w:color w:val="000000"/>
          <w:sz w:val="21"/>
        </w:rPr>
        <w:t>Before calculating savings, review completeness, units, time alignment, meter coverage, estimated values, duplicate data, abnormal periods and meter reliability. Record data-quality limitations and how they affect confidence in audit conclusions.</w:t>
      </w:r>
    </w:p>
    <w:p>
      <w:pPr>
        <w:pStyle w:val="Heading1"/>
        <w:keepNext w:val="1"/>
      </w:pPr>
      <w:r>
        <w:rPr>
          <w:rFonts w:ascii="Cambria" w:hAnsi="Cambria" w:eastAsia="Cambria" w:cs="Cambria"/>
          <w:b/>
          <w:i w:val="0"/>
          <w:color w:val="1F4E79"/>
          <w:sz w:val="26"/>
        </w:rPr>
        <w:t>6. Site Survey and Measurement</w:t>
      </w:r>
    </w:p>
    <w:p>
      <w:pPr>
        <w:spacing w:after="60"/>
        <w:ind w:left="283" w:hanging="283"/>
      </w:pPr>
      <w:r>
        <w:rPr>
          <w:rFonts w:ascii="Cambria" w:hAnsi="Cambria" w:eastAsia="Cambria" w:cs="Cambria"/>
          <w:b/>
          <w:i w:val="0"/>
          <w:color w:val="1F4E79"/>
          <w:sz w:val="21"/>
        </w:rPr>
        <w:t xml:space="preserve">1. </w:t>
      </w:r>
      <w:r>
        <w:rPr>
          <w:rFonts w:ascii="Cambria" w:hAnsi="Cambria" w:eastAsia="Cambria" w:cs="Cambria"/>
          <w:b w:val="0"/>
          <w:i w:val="0"/>
          <w:color w:val="000000"/>
          <w:sz w:val="21"/>
        </w:rPr>
        <w:t>Conduct an opening discussion to confirm audit scope, safety, operating conditions and current concerns.</w:t>
      </w:r>
    </w:p>
    <w:p>
      <w:pPr>
        <w:spacing w:after="60"/>
        <w:ind w:left="283" w:hanging="283"/>
      </w:pPr>
      <w:r>
        <w:rPr>
          <w:rFonts w:ascii="Cambria" w:hAnsi="Cambria" w:eastAsia="Cambria" w:cs="Cambria"/>
          <w:b/>
          <w:i w:val="0"/>
          <w:color w:val="1F4E79"/>
          <w:sz w:val="21"/>
        </w:rPr>
        <w:t xml:space="preserve">2. </w:t>
      </w:r>
      <w:r>
        <w:rPr>
          <w:rFonts w:ascii="Cambria" w:hAnsi="Cambria" w:eastAsia="Cambria" w:cs="Cambria"/>
          <w:b w:val="0"/>
          <w:i w:val="0"/>
          <w:color w:val="000000"/>
          <w:sz w:val="21"/>
        </w:rPr>
        <w:t>Walk the audited area with knowledgeable operators and maintenance personnel.</w:t>
      </w:r>
    </w:p>
    <w:p>
      <w:pPr>
        <w:spacing w:after="60"/>
        <w:ind w:left="283" w:hanging="283"/>
      </w:pPr>
      <w:r>
        <w:rPr>
          <w:rFonts w:ascii="Cambria" w:hAnsi="Cambria" w:eastAsia="Cambria" w:cs="Cambria"/>
          <w:b/>
          <w:i w:val="0"/>
          <w:color w:val="1F4E79"/>
          <w:sz w:val="21"/>
        </w:rPr>
        <w:t xml:space="preserve">3. </w:t>
      </w:r>
      <w:r>
        <w:rPr>
          <w:rFonts w:ascii="Cambria" w:hAnsi="Cambria" w:eastAsia="Cambria" w:cs="Cambria"/>
          <w:b w:val="0"/>
          <w:i w:val="0"/>
          <w:color w:val="000000"/>
          <w:sz w:val="21"/>
        </w:rPr>
        <w:t>Verify equipment, operating schedules, setpoints, loads, control strategies, maintenance condition and visible losses.</w:t>
      </w:r>
    </w:p>
    <w:p>
      <w:pPr>
        <w:spacing w:after="60"/>
        <w:ind w:left="283" w:hanging="283"/>
      </w:pPr>
      <w:r>
        <w:rPr>
          <w:rFonts w:ascii="Cambria" w:hAnsi="Cambria" w:eastAsia="Cambria" w:cs="Cambria"/>
          <w:b/>
          <w:i w:val="0"/>
          <w:color w:val="1F4E79"/>
          <w:sz w:val="21"/>
        </w:rPr>
        <w:t xml:space="preserve">4. </w:t>
      </w:r>
      <w:r>
        <w:rPr>
          <w:rFonts w:ascii="Cambria" w:hAnsi="Cambria" w:eastAsia="Cambria" w:cs="Cambria"/>
          <w:b w:val="0"/>
          <w:i w:val="0"/>
          <w:color w:val="000000"/>
          <w:sz w:val="21"/>
        </w:rPr>
        <w:t>Collect spot measurements or temporary logged data where required to understand load profiles or system efficiency.</w:t>
      </w:r>
    </w:p>
    <w:p>
      <w:pPr>
        <w:spacing w:after="60"/>
        <w:ind w:left="283" w:hanging="283"/>
      </w:pPr>
      <w:r>
        <w:rPr>
          <w:rFonts w:ascii="Cambria" w:hAnsi="Cambria" w:eastAsia="Cambria" w:cs="Cambria"/>
          <w:b/>
          <w:i w:val="0"/>
          <w:color w:val="1F4E79"/>
          <w:sz w:val="21"/>
        </w:rPr>
        <w:t xml:space="preserve">5. </w:t>
      </w:r>
      <w:r>
        <w:rPr>
          <w:rFonts w:ascii="Cambria" w:hAnsi="Cambria" w:eastAsia="Cambria" w:cs="Cambria"/>
          <w:b w:val="0"/>
          <w:i w:val="0"/>
          <w:color w:val="000000"/>
          <w:sz w:val="21"/>
        </w:rPr>
        <w:t>Record measurement method, instrument identification, time, operating condition and relevant uncertainty or limitation.</w:t>
      </w:r>
    </w:p>
    <w:p>
      <w:pPr>
        <w:spacing w:after="60"/>
        <w:ind w:left="283" w:hanging="283"/>
      </w:pPr>
      <w:r>
        <w:rPr>
          <w:rFonts w:ascii="Cambria" w:hAnsi="Cambria" w:eastAsia="Cambria" w:cs="Cambria"/>
          <w:b/>
          <w:i w:val="0"/>
          <w:color w:val="1F4E79"/>
          <w:sz w:val="21"/>
        </w:rPr>
        <w:t xml:space="preserve">6. </w:t>
      </w:r>
      <w:r>
        <w:rPr>
          <w:rFonts w:ascii="Cambria" w:hAnsi="Cambria" w:eastAsia="Cambria" w:cs="Cambria"/>
          <w:b w:val="0"/>
          <w:i w:val="0"/>
          <w:color w:val="000000"/>
          <w:sz w:val="21"/>
        </w:rPr>
        <w:t>Close fieldwork with a factual review of observations and any additional data requests.</w:t>
      </w:r>
    </w:p>
    <w:p>
      <w:pPr>
        <w:pStyle w:val="Heading1"/>
        <w:keepNext w:val="1"/>
      </w:pPr>
      <w:r>
        <w:rPr>
          <w:rFonts w:ascii="Cambria" w:hAnsi="Cambria" w:eastAsia="Cambria" w:cs="Cambria"/>
          <w:b/>
          <w:i w:val="0"/>
          <w:color w:val="1F4E79"/>
          <w:sz w:val="26"/>
        </w:rPr>
        <w:t>7. Energy Analysis</w:t>
      </w:r>
    </w:p>
    <w:p>
      <w:pPr>
        <w:pStyle w:val="Heading2"/>
        <w:keepNext w:val="1"/>
      </w:pPr>
      <w:r>
        <w:rPr>
          <w:rFonts w:ascii="Cambria" w:hAnsi="Cambria" w:eastAsia="Cambria" w:cs="Cambria"/>
          <w:b/>
          <w:i w:val="0"/>
          <w:color w:val="000000"/>
          <w:sz w:val="23"/>
        </w:rPr>
        <w:t>7.1 Build an Energy Balance</w:t>
      </w:r>
    </w:p>
    <w:p>
      <w:pPr>
        <w:spacing w:before="0" w:after="80" w:line="252" w:lineRule="auto"/>
      </w:pPr>
      <w:r>
        <w:rPr>
          <w:rFonts w:ascii="Cambria" w:hAnsi="Cambria" w:eastAsia="Cambria" w:cs="Cambria"/>
          <w:b w:val="0"/>
          <w:i w:val="0"/>
          <w:color w:val="000000"/>
          <w:sz w:val="21"/>
        </w:rPr>
        <w:t>Reconcile significant energy inputs with major uses at a level appropriate to the audit. The balance need not be perfect, but unexplained material differences should be investigated or explicitly documented.</w:t>
      </w:r>
    </w:p>
    <w:p>
      <w:pPr>
        <w:pStyle w:val="Heading2"/>
        <w:keepNext w:val="1"/>
      </w:pPr>
      <w:r>
        <w:rPr>
          <w:rFonts w:ascii="Cambria" w:hAnsi="Cambria" w:eastAsia="Cambria" w:cs="Cambria"/>
          <w:b/>
          <w:i w:val="0"/>
          <w:color w:val="000000"/>
          <w:sz w:val="23"/>
        </w:rPr>
        <w:t>7.2 Evaluate Performance Drivers</w:t>
      </w:r>
    </w:p>
    <w:p>
      <w:pPr>
        <w:spacing w:before="0" w:after="80" w:line="252" w:lineRule="auto"/>
      </w:pPr>
      <w:r>
        <w:rPr>
          <w:rFonts w:ascii="Cambria" w:hAnsi="Cambria" w:eastAsia="Cambria" w:cs="Cambria"/>
          <w:b w:val="0"/>
          <w:i w:val="0"/>
          <w:color w:val="000000"/>
          <w:sz w:val="21"/>
        </w:rPr>
        <w:t>Determine whether production, weather, hours, load, product mix, occupancy or other relevant variables explain changes in energy consumption. Where useful, normalize comparisons or use suitable EnPIs to distinguish operational change from energy-performance change.</w:t>
      </w:r>
    </w:p>
    <w:p>
      <w:pPr>
        <w:pStyle w:val="Heading2"/>
        <w:keepNext w:val="1"/>
      </w:pPr>
      <w:r>
        <w:rPr>
          <w:rFonts w:ascii="Cambria" w:hAnsi="Cambria" w:eastAsia="Cambria" w:cs="Cambria"/>
          <w:b/>
          <w:i w:val="0"/>
          <w:color w:val="000000"/>
          <w:sz w:val="23"/>
        </w:rPr>
        <w:t>7.3 Identify Improvement Opportunities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55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Opportunity Category</w:t>
            </w:r>
          </w:p>
        </w:tc>
        <w:tc>
          <w:tcPr>
            <w:tcW w:type="dxa" w:w="6803"/>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Typical Examples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Operational / Control</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Setpoint optimization, scheduling, shutdown/standby control, pressure/temperature reset, sequencing.</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Maintenance</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Leak repair, fouling/cleaning, insulation repair, steam-trap maintenance, filter maintenance, belt alignment.</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Equipment / Retrofit</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High-efficiency motors, variable-speed drives, compressor/chiller/boiler upgrades, heat recovery, lighting retrofit.</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Process / Design</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Process integration, reduced losses, alternative technology, layout or product/process redesign.</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Measurement / Digital</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Sub-metering, sensor improvements, analytics, automated fault detection, control-system optimization.</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Supply / Generation</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On-site renewables, cogeneration, heat pumps, fuel switching or energy storage where suitable.</w:t>
            </w:r>
          </w:p>
        </w:tc>
      </w:tr>
    </w:tbl>
    <w:p>
      <w:pPr>
        <w:pStyle w:val="Heading1"/>
        <w:keepNext w:val="1"/>
      </w:pPr>
      <w:r>
        <w:rPr>
          <w:rFonts w:ascii="Cambria" w:hAnsi="Cambria" w:eastAsia="Cambria" w:cs="Cambria"/>
          <w:b/>
          <w:i w:val="0"/>
          <w:color w:val="1F4E79"/>
          <w:sz w:val="26"/>
        </w:rPr>
        <w:t>8. Evaluate Energy Performance Improvement Actions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83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Evaluation Field</w:t>
            </w:r>
          </w:p>
        </w:tc>
        <w:tc>
          <w:tcPr>
            <w:tcW w:type="dxa" w:w="6520"/>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Expected Content</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Opportunity ID / Title</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Unique identifier and concise action description.</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Current Condition</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Observed operating condition and supporting evidence.</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Proposed Change</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Specific technical or operational modification.</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Energy-Saving Method</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Calculation, model, engineering estimate or measured comparison.</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Expected Annual Saving</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quantity by type, with calculation period.</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Cost Impact</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Expected cost saving using defined tariff/price assumptions.</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Investment / Cost</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Capital, implementation and significant maintenance cost assumptions.</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Simple Payback / Financial Metric</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Organization-approved financial evaluation method.</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Operational Impacts</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Production, quality, maintenance, safety, reliability and other relevant effects.</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Confidence / Uncertainty</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Key assumptions, sensitivity, measurement uncertainty or data-quality limitations.</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Measurement &amp; Verification</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How implemented performance will be verified.</w:t>
            </w:r>
          </w:p>
        </w:tc>
      </w:tr>
      <w:tr>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Owner / Next Decision</w:t>
            </w:r>
          </w:p>
        </w:tc>
        <w:tc>
          <w:tcPr>
            <w:tcW w:type="dxa" w:w="6520"/>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Responsible role and decision required.</w:t>
            </w:r>
          </w:p>
        </w:tc>
      </w:tr>
    </w:tbl>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Do not present a savings estimate with greater precision than the underlying data supports. State assumptions, measurement limitations and excluded effects so decision-makers can judge confidence.</w:t>
            </w:r>
          </w:p>
        </w:tc>
      </w:tr>
    </w:tbl>
    <w:p>
      <w:pPr>
        <w:pStyle w:val="Heading1"/>
        <w:keepNext w:val="1"/>
      </w:pPr>
      <w:r>
        <w:rPr>
          <w:rFonts w:ascii="Cambria" w:hAnsi="Cambria" w:eastAsia="Cambria" w:cs="Cambria"/>
          <w:b/>
          <w:i w:val="0"/>
          <w:color w:val="1F4E79"/>
          <w:sz w:val="26"/>
        </w:rPr>
        <w:t>9. Savings Calculation Principles</w:t>
      </w:r>
    </w:p>
    <w:p>
      <w:pPr>
        <w:spacing w:after="40"/>
        <w:ind w:left="283" w:hanging="170"/>
      </w:pPr>
      <w:r>
        <w:rPr>
          <w:rFonts w:ascii="Cambria" w:hAnsi="Cambria" w:eastAsia="Cambria" w:cs="Cambria"/>
          <w:b w:val="0"/>
          <w:i w:val="0"/>
          <w:color w:val="000000"/>
          <w:sz w:val="20"/>
        </w:rPr>
        <w:t>• Use a clearly defined pre-improvement reference condition and post-improvement condition.</w:t>
      </w:r>
    </w:p>
    <w:p>
      <w:pPr>
        <w:spacing w:after="40"/>
        <w:ind w:left="283" w:hanging="170"/>
      </w:pPr>
      <w:r>
        <w:rPr>
          <w:rFonts w:ascii="Cambria" w:hAnsi="Cambria" w:eastAsia="Cambria" w:cs="Cambria"/>
          <w:b w:val="0"/>
          <w:i w:val="0"/>
          <w:color w:val="000000"/>
          <w:sz w:val="20"/>
        </w:rPr>
        <w:t>• Apply consistent units and conversion factors.</w:t>
      </w:r>
    </w:p>
    <w:p>
      <w:pPr>
        <w:spacing w:after="40"/>
        <w:ind w:left="283" w:hanging="170"/>
      </w:pPr>
      <w:r>
        <w:rPr>
          <w:rFonts w:ascii="Cambria" w:hAnsi="Cambria" w:eastAsia="Cambria" w:cs="Cambria"/>
          <w:b w:val="0"/>
          <w:i w:val="0"/>
          <w:color w:val="000000"/>
          <w:sz w:val="20"/>
        </w:rPr>
        <w:t>• Normalize for relevant variables when they materially affect the comparison.</w:t>
      </w:r>
    </w:p>
    <w:p>
      <w:pPr>
        <w:spacing w:after="40"/>
        <w:ind w:left="283" w:hanging="170"/>
      </w:pPr>
      <w:r>
        <w:rPr>
          <w:rFonts w:ascii="Cambria" w:hAnsi="Cambria" w:eastAsia="Cambria" w:cs="Cambria"/>
          <w:b w:val="0"/>
          <w:i w:val="0"/>
          <w:color w:val="000000"/>
          <w:sz w:val="20"/>
        </w:rPr>
        <w:t>• Separate avoided consumption from tariff or price effects when reporting financial savings.</w:t>
      </w:r>
    </w:p>
    <w:p>
      <w:pPr>
        <w:spacing w:after="40"/>
        <w:ind w:left="283" w:hanging="170"/>
      </w:pPr>
      <w:r>
        <w:rPr>
          <w:rFonts w:ascii="Cambria" w:hAnsi="Cambria" w:eastAsia="Cambria" w:cs="Cambria"/>
          <w:b w:val="0"/>
          <w:i w:val="0"/>
          <w:color w:val="000000"/>
          <w:sz w:val="20"/>
        </w:rPr>
        <w:t>• Avoid double-counting savings where multiple opportunities affect the same load.</w:t>
      </w:r>
    </w:p>
    <w:p>
      <w:pPr>
        <w:spacing w:after="40"/>
        <w:ind w:left="283" w:hanging="170"/>
      </w:pPr>
      <w:r>
        <w:rPr>
          <w:rFonts w:ascii="Cambria" w:hAnsi="Cambria" w:eastAsia="Cambria" w:cs="Cambria"/>
          <w:b w:val="0"/>
          <w:i w:val="0"/>
          <w:color w:val="000000"/>
          <w:sz w:val="20"/>
        </w:rPr>
        <w:t>• Document interactive effects, rebound effects and operating-hour assumptions where material.</w:t>
      </w:r>
    </w:p>
    <w:p>
      <w:pPr>
        <w:spacing w:after="40"/>
        <w:ind w:left="283" w:hanging="170"/>
      </w:pPr>
      <w:r>
        <w:rPr>
          <w:rFonts w:ascii="Cambria" w:hAnsi="Cambria" w:eastAsia="Cambria" w:cs="Cambria"/>
          <w:b w:val="0"/>
          <w:i w:val="0"/>
          <w:color w:val="000000"/>
          <w:sz w:val="20"/>
        </w:rPr>
        <w:t>• For major projects, define measurement and verification before implementation rather than after savings are claimed.</w:t>
      </w:r>
    </w:p>
    <w:p>
      <w:pPr>
        <w:pStyle w:val="Heading1"/>
        <w:keepNext w:val="1"/>
      </w:pPr>
      <w:r>
        <w:rPr>
          <w:rFonts w:ascii="Cambria" w:hAnsi="Cambria" w:eastAsia="Cambria" w:cs="Cambria"/>
          <w:b/>
          <w:i w:val="0"/>
          <w:color w:val="1F4E79"/>
          <w:sz w:val="26"/>
        </w:rPr>
        <w:t>10. Prioritization</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55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Factor</w:t>
            </w:r>
          </w:p>
        </w:tc>
        <w:tc>
          <w:tcPr>
            <w:tcW w:type="dxa" w:w="6803"/>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Questions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Impact</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How material is the expected improvement relative to the audited system or SEU?</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Cost / Financial</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What investment is required and which financial criteria apply?</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Feasibility</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Can the action be implemented with available technology, skills and outage windows?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Operational Risk</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Could the change affect safety, quality, reliability, throughput or customer requirements?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Data Confidence</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How reliable are baseline, load and savings assumptions?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Strategic Fit</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Does the action support energy objectives, asset strategy, climate commitments or planned capital work?</w:t>
            </w:r>
          </w:p>
        </w:tc>
      </w:tr>
    </w:tbl>
    <w:p>
      <w:pPr>
        <w:pStyle w:val="Heading1"/>
        <w:keepNext w:val="1"/>
      </w:pPr>
      <w:r>
        <w:rPr>
          <w:rFonts w:ascii="Cambria" w:hAnsi="Cambria" w:eastAsia="Cambria" w:cs="Cambria"/>
          <w:b/>
          <w:i w:val="0"/>
          <w:color w:val="1F4E79"/>
          <w:sz w:val="26"/>
        </w:rPr>
        <w:t>11. Energy Audit Report Structure</w:t>
      </w:r>
    </w:p>
    <w:p>
      <w:pPr>
        <w:spacing w:after="40"/>
        <w:ind w:left="283" w:hanging="170"/>
      </w:pPr>
      <w:r>
        <w:rPr>
          <w:rFonts w:ascii="Cambria" w:hAnsi="Cambria" w:eastAsia="Cambria" w:cs="Cambria"/>
          <w:b w:val="0"/>
          <w:i w:val="0"/>
          <w:color w:val="000000"/>
          <w:sz w:val="20"/>
        </w:rPr>
        <w:t>• Executive summary and audit objective.</w:t>
      </w:r>
    </w:p>
    <w:p>
      <w:pPr>
        <w:spacing w:after="40"/>
        <w:ind w:left="283" w:hanging="170"/>
      </w:pPr>
      <w:r>
        <w:rPr>
          <w:rFonts w:ascii="Cambria" w:hAnsi="Cambria" w:eastAsia="Cambria" w:cs="Cambria"/>
          <w:b w:val="0"/>
          <w:i w:val="0"/>
          <w:color w:val="000000"/>
          <w:sz w:val="20"/>
        </w:rPr>
        <w:t>• Scope, boundaries, audit dates, audit team and key assumptions.</w:t>
      </w:r>
    </w:p>
    <w:p>
      <w:pPr>
        <w:spacing w:after="40"/>
        <w:ind w:left="283" w:hanging="170"/>
      </w:pPr>
      <w:r>
        <w:rPr>
          <w:rFonts w:ascii="Cambria" w:hAnsi="Cambria" w:eastAsia="Cambria" w:cs="Cambria"/>
          <w:b w:val="0"/>
          <w:i w:val="0"/>
          <w:color w:val="000000"/>
          <w:sz w:val="20"/>
        </w:rPr>
        <w:t>• Energy sources, consumption profile and major energy uses.</w:t>
      </w:r>
    </w:p>
    <w:p>
      <w:pPr>
        <w:spacing w:after="40"/>
        <w:ind w:left="283" w:hanging="170"/>
      </w:pPr>
      <w:r>
        <w:rPr>
          <w:rFonts w:ascii="Cambria" w:hAnsi="Cambria" w:eastAsia="Cambria" w:cs="Cambria"/>
          <w:b w:val="0"/>
          <w:i w:val="0"/>
          <w:color w:val="000000"/>
          <w:sz w:val="20"/>
        </w:rPr>
        <w:t>• Data sources, measurements and data-quality limitations.</w:t>
      </w:r>
    </w:p>
    <w:p>
      <w:pPr>
        <w:spacing w:after="40"/>
        <w:ind w:left="283" w:hanging="170"/>
      </w:pPr>
      <w:r>
        <w:rPr>
          <w:rFonts w:ascii="Cambria" w:hAnsi="Cambria" w:eastAsia="Cambria" w:cs="Cambria"/>
          <w:b w:val="0"/>
          <w:i w:val="0"/>
          <w:color w:val="000000"/>
          <w:sz w:val="20"/>
        </w:rPr>
        <w:t>• Energy balance or other analysis appropriate to the scope.</w:t>
      </w:r>
    </w:p>
    <w:p>
      <w:pPr>
        <w:spacing w:after="40"/>
        <w:ind w:left="283" w:hanging="170"/>
      </w:pPr>
      <w:r>
        <w:rPr>
          <w:rFonts w:ascii="Cambria" w:hAnsi="Cambria" w:eastAsia="Cambria" w:cs="Cambria"/>
          <w:b w:val="0"/>
          <w:i w:val="0"/>
          <w:color w:val="000000"/>
          <w:sz w:val="20"/>
        </w:rPr>
        <w:t>• Energy Performance Improvement Actions with calculations, assumptions, cost/benefit and operational impacts.</w:t>
      </w:r>
    </w:p>
    <w:p>
      <w:pPr>
        <w:spacing w:after="40"/>
        <w:ind w:left="283" w:hanging="170"/>
      </w:pPr>
      <w:r>
        <w:rPr>
          <w:rFonts w:ascii="Cambria" w:hAnsi="Cambria" w:eastAsia="Cambria" w:cs="Cambria"/>
          <w:b w:val="0"/>
          <w:i w:val="0"/>
          <w:color w:val="000000"/>
          <w:sz w:val="20"/>
        </w:rPr>
        <w:t>• Prioritized recommendations and next-step decisions.</w:t>
      </w:r>
    </w:p>
    <w:p>
      <w:pPr>
        <w:spacing w:after="40"/>
        <w:ind w:left="283" w:hanging="170"/>
      </w:pPr>
      <w:r>
        <w:rPr>
          <w:rFonts w:ascii="Cambria" w:hAnsi="Cambria" w:eastAsia="Cambria" w:cs="Cambria"/>
          <w:b w:val="0"/>
          <w:i w:val="0"/>
          <w:color w:val="000000"/>
          <w:sz w:val="20"/>
        </w:rPr>
        <w:t>• Measurement and verification requirements for accepted projects.</w:t>
      </w:r>
    </w:p>
    <w:p>
      <w:pPr>
        <w:spacing w:after="40"/>
        <w:ind w:left="283" w:hanging="170"/>
      </w:pPr>
      <w:r>
        <w:rPr>
          <w:rFonts w:ascii="Cambria" w:hAnsi="Cambria" w:eastAsia="Cambria" w:cs="Cambria"/>
          <w:b w:val="0"/>
          <w:i w:val="0"/>
          <w:color w:val="000000"/>
          <w:sz w:val="20"/>
        </w:rPr>
        <w:t>• Appendices containing detailed calculations or measurements where needed.</w:t>
      </w:r>
    </w:p>
    <w:p>
      <w:pPr>
        <w:pStyle w:val="Heading1"/>
        <w:keepNext w:val="1"/>
      </w:pPr>
      <w:r>
        <w:rPr>
          <w:rFonts w:ascii="Cambria" w:hAnsi="Cambria" w:eastAsia="Cambria" w:cs="Cambria"/>
          <w:b/>
          <w:i w:val="0"/>
          <w:color w:val="1F4E79"/>
          <w:sz w:val="26"/>
        </w:rPr>
        <w:t>12. Integration with the EnMS</w:t>
      </w:r>
    </w:p>
    <w:p>
      <w:pPr>
        <w:spacing w:before="0" w:after="80" w:line="252" w:lineRule="auto"/>
      </w:pPr>
      <w:r>
        <w:rPr>
          <w:rFonts w:ascii="Cambria" w:hAnsi="Cambria" w:eastAsia="Cambria" w:cs="Cambria"/>
          <w:b w:val="0"/>
          <w:i w:val="0"/>
          <w:color w:val="000000"/>
          <w:sz w:val="21"/>
        </w:rPr>
        <w:t>Accepted energy-audit opportunities should feed the organization’s energy review, opportunity register, objectives, action plans, design/procurement decisions and capital planning as appropriate. Rejected or deferred opportunities should retain a decision rationale when they are material. Implemented improvements should be verified using suitable EnPIs, baselines and measurement/verification methods.</w:t>
      </w:r>
    </w:p>
    <w:p>
      <w:pPr>
        <w:pStyle w:val="Heading1"/>
        <w:keepNext w:val="1"/>
      </w:pPr>
      <w:r>
        <w:rPr>
          <w:rFonts w:ascii="Cambria" w:hAnsi="Cambria" w:eastAsia="Cambria" w:cs="Cambria"/>
          <w:b/>
          <w:i w:val="0"/>
          <w:color w:val="1F4E79"/>
          <w:sz w:val="26"/>
        </w:rPr>
        <w:t>13. Common Technical Audit Errors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4082"/>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Error</w:t>
            </w:r>
          </w:p>
        </w:tc>
        <w:tc>
          <w:tcPr>
            <w:tcW w:type="dxa" w:w="5272"/>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Preferred Practice</w:t>
            </w:r>
          </w:p>
        </w:tc>
      </w:tr>
      <w:tr>
        <w:tc>
          <w:tcPr>
            <w:tcW w:type="dxa" w:w="408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Using nameplate power as actual load without validation.</w:t>
            </w:r>
          </w:p>
        </w:tc>
        <w:tc>
          <w:tcPr>
            <w:tcW w:type="dxa" w:w="527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Use measurement, controls data or defensible load assumptions.</w:t>
            </w:r>
          </w:p>
        </w:tc>
      </w:tr>
      <w:tr>
        <w:tc>
          <w:tcPr>
            <w:tcW w:type="dxa" w:w="408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Annualizing a short measurement period without checking representativeness.</w:t>
            </w:r>
          </w:p>
        </w:tc>
        <w:tc>
          <w:tcPr>
            <w:tcW w:type="dxa" w:w="527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Confirm operating pattern and relevant variables before annualizing.</w:t>
            </w:r>
          </w:p>
        </w:tc>
      </w:tr>
      <w:tr>
        <w:tc>
          <w:tcPr>
            <w:tcW w:type="dxa" w:w="408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Ignoring interaction between measures.</w:t>
            </w:r>
          </w:p>
        </w:tc>
        <w:tc>
          <w:tcPr>
            <w:tcW w:type="dxa" w:w="527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Sequence calculations and avoid double-counting.</w:t>
            </w:r>
          </w:p>
        </w:tc>
      </w:tr>
      <w:tr>
        <w:tc>
          <w:tcPr>
            <w:tcW w:type="dxa" w:w="408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Reporting savings with no post-implementation verification plan.</w:t>
            </w:r>
          </w:p>
        </w:tc>
        <w:tc>
          <w:tcPr>
            <w:tcW w:type="dxa" w:w="527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Define M&amp;V method during project evaluation.</w:t>
            </w:r>
          </w:p>
        </w:tc>
      </w:tr>
      <w:tr>
        <w:tc>
          <w:tcPr>
            <w:tcW w:type="dxa" w:w="408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Focusing only on capital projects.</w:t>
            </w:r>
          </w:p>
        </w:tc>
        <w:tc>
          <w:tcPr>
            <w:tcW w:type="dxa" w:w="527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Include operational, control and maintenance opportunities.</w:t>
            </w:r>
          </w:p>
        </w:tc>
      </w:tr>
      <w:tr>
        <w:tc>
          <w:tcPr>
            <w:tcW w:type="dxa" w:w="408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Ignoring non-energy operational constraints.</w:t>
            </w:r>
          </w:p>
        </w:tc>
        <w:tc>
          <w:tcPr>
            <w:tcW w:type="dxa" w:w="527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Evaluate safety, quality, reliability, production and maintenance impacts.</w:t>
            </w:r>
          </w:p>
        </w:tc>
      </w:tr>
    </w:tbl>
    <w:p>
      <w:pPr>
        <w:pStyle w:val="Heading1"/>
        <w:keepNext w:val="1"/>
      </w:pPr>
      <w:r>
        <w:rPr>
          <w:rFonts w:ascii="Cambria" w:hAnsi="Cambria" w:eastAsia="Cambria" w:cs="Cambria"/>
          <w:b/>
          <w:i w:val="0"/>
          <w:color w:val="1F4E79"/>
          <w:sz w:val="26"/>
        </w:rPr>
        <w:t>References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368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Reference</w:t>
            </w:r>
          </w:p>
        </w:tc>
        <w:tc>
          <w:tcPr>
            <w:tcW w:type="dxa" w:w="5669"/>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Official Source</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50002-1:2025</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https://www.iso.org/standard/83645.html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50001:2018</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https://www.iso.org/standard/69426.html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50006:2023</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https://www.iso.org/standard/79367.html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50015:2014</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https://www.iso.org/standard/60043.html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50004:2020</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https://www.iso.org/standard/74863.html</w:t>
            </w:r>
          </w:p>
        </w:tc>
      </w:tr>
    </w:tbl>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Use the organization's licensed copy of applicable standards for authoritative requirements. This toolkit paraphrases requirements and does not reproduce copyrighted standard text.</w:t>
            </w:r>
          </w:p>
        </w:tc>
      </w:tr>
    </w:tbl>
    <w:p>
      <w:pPr>
        <w:pStyle w:val="Heading1"/>
        <w:keepNext w:val="1"/>
      </w:pPr>
      <w:r>
        <w:rPr>
          <w:rFonts w:ascii="Cambria" w:hAnsi="Cambria" w:eastAsia="Cambria" w:cs="Cambria"/>
          <w:b/>
          <w:i w:val="0"/>
          <w:color w:val="1F4E79"/>
          <w:sz w:val="26"/>
        </w:rPr>
        <w:t>Revision and Approval</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1615"/>
        <w:gridCol w:w="1615"/>
        <w:gridCol w:w="1615"/>
        <w:gridCol w:w="1615"/>
        <w:gridCol w:w="1615"/>
        <w:gridCol w:w="1615"/>
      </w:tblGrid>
      <w:tr>
        <w:trPr>
          <w:tblHeader w:val="true"/>
        </w:trPr>
        <w:tc>
          <w:tcPr>
            <w:tcW w:type="dxa" w:w="794"/>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Version</w:t>
            </w:r>
          </w:p>
        </w:tc>
        <w:tc>
          <w:tcPr>
            <w:tcW w:type="dxa" w:w="124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Date</w:t>
            </w:r>
          </w:p>
        </w:tc>
        <w:tc>
          <w:tcPr>
            <w:tcW w:type="dxa" w:w="272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Description</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Prepared By</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Reviewed By</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Approved By</w:t>
            </w:r>
          </w:p>
        </w:tc>
      </w:tr>
      <w:tr>
        <w:tc>
          <w:tcPr>
            <w:tcW w:type="dxa" w:w="79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1.0</w:t>
            </w:r>
          </w:p>
        </w:tc>
        <w:tc>
          <w:tcPr>
            <w:tcW w:type="dxa" w:w="124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2026-09-19</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Initial issue</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[PREPARED BY]</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[REVIEWED BY]</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[APPROVER]</w:t>
            </w:r>
          </w:p>
        </w:tc>
      </w:tr>
    </w:tbl>
    <w:p>
      <w:pPr>
        <w:spacing w:before="0" w:after="80" w:line="252" w:lineRule="auto"/>
      </w:pPr>
      <w:r>
        <w:rPr>
          <w:rFonts w:ascii="Cambria" w:hAnsi="Cambria" w:eastAsia="Cambria" w:cs="Cambria"/>
          <w:b w:val="0"/>
          <w:i w:val="0"/>
          <w:color w:val="000000"/>
          <w:sz w:val="21"/>
        </w:rPr>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26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Control Field</w:t>
            </w:r>
          </w:p>
        </w:tc>
        <w:tc>
          <w:tcPr>
            <w:tcW w:type="dxa" w:w="70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Requirement</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Document Code</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EnMS-GUI-003</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Review Cycle</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Annual or upon significant change</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Retention Period</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As defined by the organization's record retention requirements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Classification</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INTERNAL</w:t>
            </w:r>
          </w:p>
        </w:tc>
      </w:tr>
    </w:tbl>
    <w:sectPr w:rsidR="00FC693F" w:rsidRPr="0006063C" w:rsidSect="00034616">
      <w:headerReference w:type="default" r:id="rId9"/>
      <w:footerReference w:type="default" r:id="rId10"/>
      <w:pgSz w:w="12240" w:h="15840"/>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jc w:val="center"/>
    </w:pPr>
    <w:r>
      <w:rPr>
        <w:rFonts w:ascii="Cambria" w:hAnsi="Cambria" w:eastAsia="Cambria" w:cs="Cambria"/>
        <w:b w:val="0"/>
        <w:i w:val="0"/>
        <w:color w:val="666666"/>
        <w:sz w:val="16"/>
      </w:rPr>
      <w:t xml:space="preserve">www.iso-toolkits.org  |  info@iso-toolkits.org  |  Page </w:t>
    </w:r>
    <w:r>
      <w:rPr>
        <w:rFonts w:ascii="Cambria" w:hAnsi="Cambria" w:eastAsia="Cambria" w:cs="Cambria"/>
        <w:b w:val="0"/>
        <w:i w:val="0"/>
        <w:color w:val="666666"/>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pPr>
  </w:p>
  <w:tbl>
    <w:tblPr>
      <w:tblW w:type="auto" w:w="0"/>
      <w:jc w:val="center"/>
      <w:tblLayout w:type="fixed"/>
      <w:tblLook w:firstColumn="1" w:firstRow="1" w:lastColumn="0" w:lastRow="0" w:noHBand="0" w:noVBand="1" w:val="04A0"/>
      <w:tblBorders>
        <w:top w:val="single" w:sz="3" w:space="0" w:color="D9E1E8"/>
        <w:left w:val="single" w:sz="3" w:space="0" w:color="D9E1E8"/>
        <w:bottom w:val="single" w:sz="3" w:space="0" w:color="D9E1E8"/>
        <w:right w:val="single" w:sz="3" w:space="0" w:color="D9E1E8"/>
        <w:insideH w:val="single" w:sz="3" w:space="0" w:color="D9E1E8"/>
        <w:insideV w:val="single" w:sz="3" w:space="0" w:color="D9E1E8"/>
      </w:tblBorders>
    </w:tblPr>
    <w:tblGrid>
      <w:gridCol w:w="1984"/>
      <w:gridCol w:w="4819"/>
      <w:gridCol w:w="2551"/>
    </w:tblGrid>
    <w:tr>
      <w:tc>
        <w:tcPr>
          <w:tcW w:type="dxa" w:w="3118"/>
          <w:tcMar>
            <w:top w:w="50" w:type="dxa"/>
            <w:left w:w="70" w:type="dxa"/>
            <w:bottom w:w="50" w:type="dxa"/>
            <w:right w:w="70" w:type="dxa"/>
          </w:tcMar>
          <w:vAlign w:val="center"/>
        </w:tcPr>
        <w:p>
          <w:pPr>
            <w:spacing w:before="0" w:after="0" w:line="240" w:lineRule="auto"/>
            <w:jc w:val="left"/>
          </w:pPr>
          <w:r>
            <w:rPr>
              <w:rFonts w:ascii="Cambria" w:hAnsi="Cambria" w:eastAsia="Cambria" w:cs="Cambria"/>
              <w:b w:val="0"/>
              <w:i w:val="0"/>
              <w:color w:val="000000"/>
              <w:sz w:val="16"/>
            </w:rPr>
            <w:t>ORGANIZATION LOGO</w:t>
          </w:r>
        </w:p>
      </w:tc>
      <w:tc>
        <w:tcPr>
          <w:tcW w:type="dxa" w:w="3118"/>
          <w:tcMar>
            <w:top w:w="50" w:type="dxa"/>
            <w:left w:w="70" w:type="dxa"/>
            <w:bottom w:w="50" w:type="dxa"/>
            <w:right w:w="70" w:type="dxa"/>
          </w:tcMar>
          <w:vAlign w:val="center"/>
        </w:tcPr>
        <w:p>
          <w:pPr>
            <w:spacing w:before="0" w:after="0" w:line="240" w:lineRule="auto"/>
            <w:jc w:val="center"/>
          </w:pPr>
          <w:r>
            <w:rPr>
              <w:rFonts w:ascii="Cambria" w:hAnsi="Cambria" w:eastAsia="Cambria" w:cs="Cambria"/>
              <w:b/>
              <w:i w:val="0"/>
              <w:color w:val="1F4E79"/>
              <w:sz w:val="17"/>
            </w:rPr>
            <w:t>[ORGANIZATION NAME]</w:t>
            <w:br/>
            <w:t>Energy Audit Guidance</w:t>
          </w:r>
        </w:p>
      </w:tc>
      <w:tc>
        <w:tcPr>
          <w:tcW w:type="dxa" w:w="3118"/>
          <w:tcMar>
            <w:top w:w="50" w:type="dxa"/>
            <w:left w:w="70" w:type="dxa"/>
            <w:bottom w:w="50" w:type="dxa"/>
            <w:right w:w="70" w:type="dxa"/>
          </w:tcMar>
          <w:vAlign w:val="center"/>
        </w:tcPr>
        <w:p>
          <w:pPr>
            <w:spacing w:before="0" w:after="0" w:line="240" w:lineRule="auto"/>
            <w:jc w:val="left"/>
          </w:pPr>
          <w:r>
            <w:rPr>
              <w:rFonts w:ascii="Cambria" w:hAnsi="Cambria" w:eastAsia="Cambria" w:cs="Cambria"/>
              <w:b w:val="0"/>
              <w:i w:val="0"/>
              <w:color w:val="000000"/>
              <w:sz w:val="16"/>
            </w:rPr>
            <w:t>EnMS-GUI-003</w:t>
            <w:br/>
            <w:t>Version 1.0</w:t>
            <w:br/>
            <w:t>Effective: 2026-09-19</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b/>
      <w:color w:val="1F4E7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Audit Guidance</dc:title>
  <dc:subject>Guidance for planning and conducting technical energy audits to evaluate energy use and identify energy performance improvement opportunities.</dc:subject>
  <dc:creator>ISO Toolkits</dc:creator>
  <cp:keywords>ISO 50002-1, energy audit, ISO 50001, energy performance, energy savings</cp:keywords>
  <dc:description>ISO 50001 toolkit document. Website: www.iso-toolkits.org; Email: info@iso-toolkits.org</dc:description>
  <cp:lastModifiedBy>ISO Toolkits</cp:lastModifiedBy>
  <cp:revision>1</cp:revision>
  <dcterms:created xsi:type="dcterms:W3CDTF">2013-12-23T23:15:00Z</dcterms:created>
  <dcterms:modified xsi:type="dcterms:W3CDTF">2013-12-23T23:15:00Z</dcterms:modified>
  <cp:category>ISO 50001 Energy Management System</cp:category>
</cp:coreProperties>
</file>