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Cambria" w:hAnsi="Cambria" w:eastAsia="Cambria"/>
          <w:b/>
          <w:i w:val="0"/>
          <w:color w:val="1F4E79"/>
          <w:sz w:val="44"/>
        </w:rPr>
        <w:t>Documented Information Procedure</w:t>
      </w:r>
    </w:p>
    <w:p>
      <w:pPr>
        <w:jc w:val="center"/>
      </w:pPr>
      <w:r>
        <w:rPr>
          <w:rFonts w:ascii="Cambria" w:hAnsi="Cambria" w:eastAsia="Cambria"/>
          <w:b/>
          <w:i w:val="0"/>
          <w:color w:val="7F7F7F"/>
          <w:sz w:val="22"/>
        </w:rPr>
        <w:t>ISO 50001 ENERGY MANAGEMENT SYSTEM TOOLKIT</w:t>
      </w:r>
    </w:p>
    <w:p/>
    <w:tbl>
      <w:tblPr>
        <w:tblW w:type="auto" w:w="0"/>
        <w:jc w:val="center"/>
        <w:tblLayout w:type="fixed"/>
        <w:tblLook w:val="04A0"/>
      </w:tblPr>
      <w:tblGrid>
        <w:gridCol w:w="2339"/>
        <w:gridCol w:w="2339"/>
        <w:gridCol w:w="2339"/>
        <w:gridCol w:w="2339"/>
      </w:tblGrid>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Code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EnMS-PRO-003</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Type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Procedure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Applicable Standard</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ISO 50001:2018 + Amendment 1:2024</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Version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1.0</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Effective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2026-09-19</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Next Review Date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2027-09-19</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[DOCUMENT OWNER]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Approver</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[APPROVER]</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Classification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INTERNAL</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Review Cycle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Annual / Upon Significant Change</w:t>
            </w:r>
          </w:p>
        </w:tc>
      </w:tr>
      <w:tr>
        <w:trPr>
          <w:trHeight w:val="454"/>
        </w:trPr>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Organization</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[ORGANIZATION NAME]</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shd w:fill="EAF3F8" w:val="clear"/>
            <w:tcMar>
              <w:top w:w="70" w:type="dxa"/>
              <w:left w:w="80" w:type="dxa"/>
              <w:bottom w:w="70" w:type="dxa"/>
              <w:right w:w="80" w:type="dxa"/>
            </w:tcMar>
            <w:vAlign w:val="center"/>
          </w:tcPr>
          <w:p>
            <w:r>
              <w:rPr>
                <w:rFonts w:ascii="Cambria" w:hAnsi="Cambria" w:eastAsia="Cambria"/>
                <w:b/>
                <w:i w:val="0"/>
                <w:color w:val="000000"/>
                <w:sz w:val="18"/>
              </w:rPr>
              <w:t>Status</w:t>
            </w:r>
          </w:p>
        </w:tc>
        <w:tc>
          <w:tcPr>
            <w:tcW w:type="dxa" w:w="2339"/>
            <w:tcBorders>
              <w:top w:val="single" w:sz="4" w:color="B7C3CD"/>
              <w:left w:val="single" w:sz="4" w:color="B7C3CD"/>
              <w:bottom w:val="single" w:sz="4" w:color="B7C3CD"/>
              <w:right w:val="single" w:sz="4" w:color="B7C3CD"/>
              <w:insideH w:val="single" w:sz="4" w:color="B7C3CD"/>
              <w:insideV w:val="single" w:sz="4" w:color="B7C3CD"/>
            </w:tcBorders>
            <w:tcMar>
              <w:top w:w="70" w:type="dxa"/>
              <w:left w:w="80" w:type="dxa"/>
              <w:bottom w:w="70" w:type="dxa"/>
              <w:right w:w="80" w:type="dxa"/>
            </w:tcMar>
            <w:vAlign w:val="center"/>
          </w:tcPr>
          <w:p>
            <w:r>
              <w:rPr>
                <w:rFonts w:ascii="Cambria" w:hAnsi="Cambria" w:eastAsia="Cambria"/>
                <w:b w:val="0"/>
                <w:i w:val="0"/>
                <w:color w:val="000000"/>
                <w:sz w:val="18"/>
              </w:rPr>
              <w:t>Controlled Template</w:t>
            </w:r>
          </w:p>
        </w:tc>
      </w:tr>
    </w:tbl>
    <w:p/>
    <w:p>
      <w:pPr>
        <w:jc w:val="center"/>
      </w:pPr>
      <w:r>
        <w:rPr>
          <w:rFonts w:ascii="Cambria" w:hAnsi="Cambria" w:eastAsia="Cambria"/>
          <w:b w:val="0"/>
          <w:i w:val="0"/>
          <w:color w:val="7F7F7F"/>
          <w:sz w:val="18"/>
        </w:rPr>
        <w:t>Website: www.iso-toolkits.org | Email: info@iso-toolkits.org</w:t>
      </w:r>
    </w:p>
    <w:p>
      <w:r>
        <w:br w:type="page"/>
      </w:r>
    </w:p>
    <w:p>
      <w:pPr>
        <w:pStyle w:val="Heading1"/>
      </w:pPr>
      <w:r>
        <w:t>1. Purpose</w:t>
      </w:r>
    </w:p>
    <w:p>
      <w:r>
        <w:rPr>
          <w:rFonts w:ascii="Cambria" w:hAnsi="Cambria" w:eastAsia="Cambria"/>
          <w:b w:val="0"/>
          <w:i w:val="0"/>
          <w:color w:val="000000"/>
          <w:sz w:val="21"/>
        </w:rPr>
        <w:t>To define how EnMS documented information is created, reviewed, approved, released, accessed, changed, retained and disposed so that users rely on current and authorized information and objective evidence remains protected and retrievable.</w:t>
      </w:r>
    </w:p>
    <w:p>
      <w:pPr>
        <w:pStyle w:val="Heading1"/>
      </w:pPr>
      <w:r>
        <w:t>2. Scope</w:t>
      </w:r>
    </w:p>
    <w:p>
      <w:r>
        <w:rPr>
          <w:rFonts w:ascii="Cambria" w:hAnsi="Cambria" w:eastAsia="Cambria"/>
          <w:b w:val="0"/>
          <w:i w:val="0"/>
          <w:color w:val="000000"/>
          <w:sz w:val="21"/>
        </w:rPr>
        <w:t>This procedure applies to documented information required for the Energy Management System and to other documents or records the organization determines are necessary for effective energy management. It covers internally created documents, external documents, electronic records, controlled templates, data files and retained evidence within the EnMS scope.</w:t>
      </w:r>
    </w:p>
    <w:p>
      <w:pPr>
        <w:pStyle w:val="Heading1"/>
      </w:pPr>
      <w:r>
        <w:t>3. Responsibilities</w:t>
      </w:r>
    </w:p>
    <w:tbl>
      <w:tblPr>
        <w:tblW w:type="auto" w:w="0"/>
        <w:jc w:val="center"/>
        <w:tblLayout w:type="fixed"/>
        <w:tblLook w:val="04A0"/>
      </w:tblPr>
      <w:tblGrid>
        <w:gridCol w:w="4677"/>
        <w:gridCol w:w="4677"/>
      </w:tblGrid>
      <w:tr>
        <w:trPr>
          <w:tblHeader w:val="true"/>
        </w:trPr>
        <w:tc>
          <w:tcPr>
            <w:tcW w:type="dxa" w:w="266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Role</w:t>
            </w:r>
          </w:p>
        </w:tc>
        <w:tc>
          <w:tcPr>
            <w:tcW w:type="dxa" w:w="686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Key responsibilities</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Top Management / Approver</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Approve policy-level and other designated EnMS documents; ensure resources and authority for document control.</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Energy Manager</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Define EnMS documentation needs; ensure current energy-management documents are available and aligned with EnMS processes.</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Controller / EnMS Coordinator</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Maintain the master register, templates, controlled repositories, version status, distribution and archival controls.</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Owner</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Prepare and periodically review content; ensure technical accuracy, applicability and update after relevant change.</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Process / SEU Owner</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current controlled documents and retain required operational and energy-performance records.</w:t>
            </w:r>
          </w:p>
        </w:tc>
      </w:tr>
      <w:tr>
        <w:tc>
          <w:tcPr>
            <w:tcW w:type="dxa" w:w="266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All Users</w:t>
            </w:r>
          </w:p>
        </w:tc>
        <w:tc>
          <w:tcPr>
            <w:tcW w:type="dxa" w:w="686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Use authorized versions, protect records, identify obsolete or incorrect information and report required changes.</w:t>
            </w:r>
          </w:p>
        </w:tc>
      </w:tr>
    </w:tbl>
    <w:p>
      <w:pPr>
        <w:pStyle w:val="Heading1"/>
      </w:pPr>
      <w:r>
        <w:t>4. Documented Information Control Principles</w:t>
      </w:r>
    </w:p>
    <w:p>
      <w:pPr>
        <w:pStyle w:val="ListBullet"/>
        <w:spacing w:after="40"/>
      </w:pPr>
      <w:r>
        <w:rPr>
          <w:rFonts w:ascii="Cambria" w:hAnsi="Cambria" w:eastAsia="Cambria"/>
          <w:b w:val="0"/>
          <w:i w:val="0"/>
          <w:color w:val="000000"/>
          <w:sz w:val="21"/>
        </w:rPr>
        <w:t>Document only what is needed to operate, control, evaluate or improve the EnMS and energy performance.</w:t>
      </w:r>
    </w:p>
    <w:p>
      <w:pPr>
        <w:pStyle w:val="ListBullet"/>
        <w:spacing w:after="40"/>
      </w:pPr>
      <w:r>
        <w:rPr>
          <w:rFonts w:ascii="Cambria" w:hAnsi="Cambria" w:eastAsia="Cambria"/>
          <w:b w:val="0"/>
          <w:i w:val="0"/>
          <w:color w:val="000000"/>
          <w:sz w:val="21"/>
        </w:rPr>
        <w:t>Apply proportionate controls: critical operating instructions, EnPI methods, baseline calculations and approval records normally need stronger control than low-risk reference material.</w:t>
      </w:r>
    </w:p>
    <w:p>
      <w:pPr>
        <w:pStyle w:val="ListBullet"/>
        <w:spacing w:after="40"/>
      </w:pPr>
      <w:r>
        <w:rPr>
          <w:rFonts w:ascii="Cambria" w:hAnsi="Cambria" w:eastAsia="Cambria"/>
          <w:b w:val="0"/>
          <w:i w:val="0"/>
          <w:color w:val="000000"/>
          <w:sz w:val="21"/>
        </w:rPr>
        <w:t>Ensure each controlled item can be identified by title, code or other unique identifier, version/status, owner and approval status.</w:t>
      </w:r>
    </w:p>
    <w:p>
      <w:pPr>
        <w:pStyle w:val="ListBullet"/>
        <w:spacing w:after="40"/>
      </w:pPr>
      <w:r>
        <w:rPr>
          <w:rFonts w:ascii="Cambria" w:hAnsi="Cambria" w:eastAsia="Cambria"/>
          <w:b w:val="0"/>
          <w:i w:val="0"/>
          <w:color w:val="000000"/>
          <w:sz w:val="21"/>
        </w:rPr>
        <w:t>Keep current versions available at the point of use and prevent unintended use of superseded versions.</w:t>
      </w:r>
    </w:p>
    <w:p>
      <w:pPr>
        <w:pStyle w:val="ListBullet"/>
        <w:spacing w:after="40"/>
      </w:pPr>
      <w:r>
        <w:rPr>
          <w:rFonts w:ascii="Cambria" w:hAnsi="Cambria" w:eastAsia="Cambria"/>
          <w:b w:val="0"/>
          <w:i w:val="0"/>
          <w:color w:val="000000"/>
          <w:sz w:val="21"/>
        </w:rPr>
        <w:t>Protect evidence from loss, unauthorized change, deterioration and inappropriate disclosure.</w:t>
      </w:r>
    </w:p>
    <w:p>
      <w:pPr>
        <w:pStyle w:val="ListBullet"/>
        <w:spacing w:after="40"/>
      </w:pPr>
      <w:r>
        <w:rPr>
          <w:rFonts w:ascii="Cambria" w:hAnsi="Cambria" w:eastAsia="Cambria"/>
          <w:b w:val="0"/>
          <w:i w:val="0"/>
          <w:color w:val="000000"/>
          <w:sz w:val="21"/>
        </w:rPr>
        <w:t>Maintain traceability between changes, approval and the effective version in use.</w:t>
      </w:r>
    </w:p>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Do not create a separate controlled document solely because an ISO clause exists. Combine documents when this makes the EnMS easier to operate without weakening ownership, traceability or evidence.</w:t>
      </w:r>
    </w:p>
    <w:p>
      <w:pPr>
        <w:pStyle w:val="Heading1"/>
      </w:pPr>
      <w:r>
        <w:t>5. Procedure</w:t>
      </w:r>
    </w:p>
    <w:tbl>
      <w:tblPr>
        <w:tblW w:type="auto" w:w="0"/>
        <w:jc w:val="center"/>
        <w:tblLayout w:type="fixed"/>
        <w:tblLook w:val="04A0"/>
      </w:tblPr>
      <w:tblGrid>
        <w:gridCol w:w="2339"/>
        <w:gridCol w:w="2339"/>
        <w:gridCol w:w="2339"/>
        <w:gridCol w:w="2339"/>
      </w:tblGrid>
      <w:tr>
        <w:trPr>
          <w:tblHeader w:val="true"/>
        </w:trPr>
        <w:tc>
          <w:tcPr>
            <w:tcW w:type="dxa" w:w="79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Step</w:t>
            </w:r>
          </w:p>
        </w:tc>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Responsible</w:t>
            </w:r>
          </w:p>
        </w:tc>
        <w:tc>
          <w:tcPr>
            <w:tcW w:type="dxa" w:w="4819"/>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Activity</w:t>
            </w:r>
          </w:p>
        </w:tc>
        <w:tc>
          <w:tcPr>
            <w:tcW w:type="dxa" w:w="198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Output / Record</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1</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Owner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Identify the business or EnMS need for new or revised documented information. Confirm intended users, process, required evidence and any related legal, contractual or internal requirements.</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request / change need</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2</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Owner / Energy Manager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Select the appropriate document type and level of control. Confirm whether the content should be a policy, procedure, work instruction, form, register, report, calculation method or external reference.</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Agreed document type and owner</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3</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Owner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Prepare content using an approved template where available. Write for the intended user; define responsibilities, required actions, inputs, outputs and retained records.</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Draft document</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4</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Technical Reviewer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Review technical accuracy, process fit, interfaces and energy-performance implications. For EnPI, EnB, SEU or calculation documents, verify method and data assumptions.</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Review comments / revised draft</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5</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Authorized Approver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Approve the controlled document before release. Approval may be electronic where identity, date and authorization are traceable.</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Approved document</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6</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Controller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Assign or confirm document code, version, effective date, owner, classification and controlled status; update the master register.</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Master register updated</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7</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Controller / Process Owner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Publish the current version in the controlled repository and remove or clearly identify superseded copies. Communicate changes to affected users when the change can alter work or energy performance.</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Released document / communication evidence</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8</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Users / Process Owner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Use the current version and complete required records at the time the activity occurs. Correct record errors without obscuring the original information where traceability is required.</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Controlled records</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9</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Owner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Review documented information at the planned interval and after significant change, including process, equipment, SEU, EnPI, EnB, regulatory or organizational change.</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Review evidence / change request</w:t>
            </w:r>
          </w:p>
        </w:tc>
      </w:tr>
      <w:tr>
        <w:tc>
          <w:tcPr>
            <w:tcW w:type="dxa" w:w="7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10</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Document Controller</w:t>
            </w:r>
          </w:p>
        </w:tc>
        <w:tc>
          <w:tcPr>
            <w:tcW w:type="dxa" w:w="4819"/>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Archive superseded or withdrawn versions when retention is required, restrict use, and dispose of records after the authorized retention period.</w:t>
            </w:r>
          </w:p>
        </w:tc>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Archive / disposition evidence</w:t>
            </w:r>
          </w:p>
        </w:tc>
      </w:tr>
    </w:tbl>
    <w:p>
      <w:pPr>
        <w:pStyle w:val="Heading2"/>
      </w:pPr>
      <w:r>
        <w:t>5.1 Identification and Naming</w:t>
      </w:r>
    </w:p>
    <w:tbl>
      <w:tblPr>
        <w:tblW w:type="auto" w:w="0"/>
        <w:jc w:val="center"/>
        <w:tblLayout w:type="fixed"/>
        <w:tblLook w:val="04A0"/>
      </w:tblPr>
      <w:tblGrid>
        <w:gridCol w:w="4677"/>
        <w:gridCol w:w="4677"/>
      </w:tblGrid>
      <w:tr>
        <w:trPr>
          <w:tblHeader w:val="true"/>
        </w:trPr>
        <w:tc>
          <w:tcPr>
            <w:tcW w:type="dxa" w:w="249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Control element</w:t>
            </w:r>
          </w:p>
        </w:tc>
        <w:tc>
          <w:tcPr>
            <w:tcW w:type="dxa" w:w="7030"/>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Minimum expectation</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Title</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Clear description that matches the content and intended use.</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Identifier</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Unique code or controlled repository identifier where formal control is required.</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Version / Revision</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Changed when approved content is revised. Draft working copies should not be presented as controlled.</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Owner</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Named role responsible for content accuracy and review.</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Effective date</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Date from which the approved version is intended to be used.</w:t>
            </w:r>
          </w:p>
        </w:tc>
      </w:tr>
      <w:tr>
        <w:tc>
          <w:tcPr>
            <w:tcW w:type="dxa" w:w="249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Classification</w:t>
            </w:r>
          </w:p>
        </w:tc>
        <w:tc>
          <w:tcPr>
            <w:tcW w:type="dxa" w:w="7030"/>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Apply organization information-classification rules where needed.</w:t>
            </w:r>
          </w:p>
        </w:tc>
      </w:tr>
    </w:tbl>
    <w:p>
      <w:pPr>
        <w:pStyle w:val="Heading2"/>
      </w:pPr>
      <w:r>
        <w:t>5.2 Change Control</w:t>
      </w:r>
    </w:p>
    <w:tbl>
      <w:tblPr>
        <w:tblW w:type="auto" w:w="0"/>
        <w:jc w:val="center"/>
        <w:tblLayout w:type="fixed"/>
        <w:tblLook w:val="04A0"/>
      </w:tblPr>
      <w:tblGrid>
        <w:gridCol w:w="3118"/>
        <w:gridCol w:w="3118"/>
        <w:gridCol w:w="3118"/>
      </w:tblGrid>
      <w:tr>
        <w:trPr>
          <w:tblHeader w:val="true"/>
        </w:trPr>
        <w:tc>
          <w:tcPr>
            <w:tcW w:type="dxa" w:w="1984"/>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Change type</w:t>
            </w:r>
          </w:p>
        </w:tc>
        <w:tc>
          <w:tcPr>
            <w:tcW w:type="dxa" w:w="36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Typical examples</w:t>
            </w:r>
          </w:p>
        </w:tc>
        <w:tc>
          <w:tcPr>
            <w:tcW w:type="dxa" w:w="391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Required control</w:t>
            </w:r>
          </w:p>
        </w:tc>
      </w:tr>
      <w:tr>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Minor editorial</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Spelling, formatting, contact detail with no change to required action.</w:t>
            </w:r>
          </w:p>
        </w:tc>
        <w:tc>
          <w:tcPr>
            <w:tcW w:type="dxa" w:w="391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Owner verification; version handling per organization rule.</w:t>
            </w:r>
          </w:p>
        </w:tc>
      </w:tr>
      <w:tr>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Operational</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Change to task sequence, setpoint, acceptance criterion, role or retained evidence.</w:t>
            </w:r>
          </w:p>
        </w:tc>
        <w:tc>
          <w:tcPr>
            <w:tcW w:type="dxa" w:w="391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Technical review, approval, communication and effective-date control.</w:t>
            </w:r>
          </w:p>
        </w:tc>
      </w:tr>
      <w:tr>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Energy-performance method</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Change to EnPI formula, baseline model, relevant variable, SEU criteria or measurement method.</w:t>
            </w:r>
          </w:p>
        </w:tc>
        <w:tc>
          <w:tcPr>
            <w:tcW w:type="dxa" w:w="391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Technical validation, impact assessment, approval and preserved calculation evidence.</w:t>
            </w:r>
          </w:p>
        </w:tc>
      </w:tr>
      <w:tr>
        <w:tc>
          <w:tcPr>
            <w:tcW w:type="dxa" w:w="1984"/>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Emergency / temporary</w:t>
            </w:r>
          </w:p>
        </w:tc>
        <w:tc>
          <w:tcPr>
            <w:tcW w:type="dxa" w:w="36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Urgent safe or continuity-related instruction pending formal document revision.</w:t>
            </w:r>
          </w:p>
        </w:tc>
        <w:tc>
          <w:tcPr>
            <w:tcW w:type="dxa" w:w="391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7"/>
              </w:rPr>
              <w:t>Authorized temporary control, defined expiry/review point and prompt formalization.</w:t>
            </w:r>
          </w:p>
        </w:tc>
      </w:tr>
    </w:tbl>
    <w:p>
      <w:pPr>
        <w:pStyle w:val="Heading2"/>
      </w:pPr>
      <w:r>
        <w:t>5.3 External Documents</w:t>
      </w:r>
    </w:p>
    <w:p>
      <w:r>
        <w:rPr>
          <w:rFonts w:ascii="Cambria" w:hAnsi="Cambria" w:eastAsia="Cambria"/>
          <w:b w:val="0"/>
          <w:i w:val="0"/>
          <w:color w:val="000000"/>
          <w:sz w:val="21"/>
        </w:rPr>
        <w:t>Documents originating outside the organization that are needed for EnMS operation shall be identifiable, accessible to intended users and reviewed for currency as appropriate. Examples include legislation, utility tariffs, equipment manuals, customer requirements, energy-service contracts and licensed standards.</w:t>
      </w:r>
    </w:p>
    <w:p>
      <w:pPr>
        <w:pStyle w:val="Heading2"/>
      </w:pPr>
      <w:r>
        <w:t>5.4 Records and Energy Data</w:t>
      </w:r>
    </w:p>
    <w:p>
      <w:pPr>
        <w:pStyle w:val="ListBullet"/>
        <w:spacing w:after="40"/>
      </w:pPr>
      <w:r>
        <w:rPr>
          <w:rFonts w:ascii="Cambria" w:hAnsi="Cambria" w:eastAsia="Cambria"/>
          <w:b w:val="0"/>
          <w:i w:val="0"/>
          <w:color w:val="000000"/>
          <w:sz w:val="21"/>
        </w:rPr>
        <w:t>Retain records in a form that preserves meaning, date, source and responsible role.</w:t>
      </w:r>
    </w:p>
    <w:p>
      <w:pPr>
        <w:pStyle w:val="ListBullet"/>
        <w:spacing w:after="40"/>
      </w:pPr>
      <w:r>
        <w:rPr>
          <w:rFonts w:ascii="Cambria" w:hAnsi="Cambria" w:eastAsia="Cambria"/>
          <w:b w:val="0"/>
          <w:i w:val="0"/>
          <w:color w:val="000000"/>
          <w:sz w:val="21"/>
        </w:rPr>
        <w:t>Protect raw energy data and approved calculation files used for EnPIs, baselines or savings verification against uncontrolled overwrite.</w:t>
      </w:r>
    </w:p>
    <w:p>
      <w:pPr>
        <w:pStyle w:val="ListBullet"/>
        <w:spacing w:after="40"/>
      </w:pPr>
      <w:r>
        <w:rPr>
          <w:rFonts w:ascii="Cambria" w:hAnsi="Cambria" w:eastAsia="Cambria"/>
          <w:b w:val="0"/>
          <w:i w:val="0"/>
          <w:color w:val="000000"/>
          <w:sz w:val="21"/>
        </w:rPr>
        <w:t>Where corrections are necessary, retain sufficient traceability to understand what changed, why and by whom.</w:t>
      </w:r>
    </w:p>
    <w:p>
      <w:pPr>
        <w:pStyle w:val="ListBullet"/>
        <w:spacing w:after="40"/>
      </w:pPr>
      <w:r>
        <w:rPr>
          <w:rFonts w:ascii="Cambria" w:hAnsi="Cambria" w:eastAsia="Cambria"/>
          <w:b w:val="0"/>
          <w:i w:val="0"/>
          <w:color w:val="000000"/>
          <w:sz w:val="21"/>
        </w:rPr>
        <w:t>Back up critical electronic records according to organizational IT and business-continuity controls.</w:t>
      </w:r>
    </w:p>
    <w:p>
      <w:pPr>
        <w:pStyle w:val="ListBullet"/>
        <w:spacing w:after="40"/>
      </w:pPr>
      <w:r>
        <w:rPr>
          <w:rFonts w:ascii="Cambria" w:hAnsi="Cambria" w:eastAsia="Cambria"/>
          <w:b w:val="0"/>
          <w:i w:val="0"/>
          <w:color w:val="000000"/>
          <w:sz w:val="21"/>
        </w:rPr>
        <w:t>Do not prescribe a universal retention period; apply legal, contractual, operational and organizational retention requirements.</w:t>
      </w:r>
    </w:p>
    <w:p>
      <w:pPr>
        <w:pStyle w:val="Heading2"/>
      </w:pPr>
      <w:r>
        <w:t>5.5 Obsolete Information and Uncontrolled Copies</w:t>
      </w:r>
    </w:p>
    <w:p>
      <w:r>
        <w:rPr>
          <w:rFonts w:ascii="Cambria" w:hAnsi="Cambria" w:eastAsia="Cambria"/>
          <w:b w:val="0"/>
          <w:i w:val="0"/>
          <w:color w:val="000000"/>
          <w:sz w:val="21"/>
        </w:rPr>
        <w:t>Superseded controlled documents shall be removed from normal points of use or clearly marked so they cannot be mistaken for the current version. Printed copies are uncontrolled unless the organization deliberately controls a specific hard-copy distribution.</w:t>
      </w:r>
    </w:p>
    <w:p>
      <w:pPr>
        <w:pStyle w:val="Heading1"/>
      </w:pPr>
      <w:r>
        <w:t>6. Exceptions and Escalation</w:t>
      </w:r>
    </w:p>
    <w:p>
      <w:r>
        <w:rPr>
          <w:rFonts w:ascii="Cambria" w:hAnsi="Cambria" w:eastAsia="Cambria"/>
          <w:b w:val="0"/>
          <w:i w:val="0"/>
          <w:color w:val="000000"/>
          <w:sz w:val="21"/>
        </w:rPr>
        <w:t>If a required document or record is unavailable, corrupt, unauthorized or materially incorrect, the user shall stop relying on it for controlled decision-making and escalate to the document owner or Energy Manager. Where the issue can affect energy performance, compliance or safety, the affected process owner shall determine interim controls until the information is restored or corrected.</w:t>
      </w:r>
    </w:p>
    <w:p>
      <w:pPr>
        <w:pStyle w:val="Heading1"/>
      </w:pPr>
      <w:r>
        <w:t>7. Records</w:t>
      </w:r>
    </w:p>
    <w:tbl>
      <w:tblPr>
        <w:tblW w:type="auto" w:w="0"/>
        <w:jc w:val="center"/>
        <w:tblLayout w:type="fixed"/>
        <w:tblLook w:val="04A0"/>
      </w:tblPr>
      <w:tblGrid>
        <w:gridCol w:w="3118"/>
        <w:gridCol w:w="3118"/>
        <w:gridCol w:w="3118"/>
      </w:tblGrid>
      <w:tr>
        <w:trPr>
          <w:tblHeader w:val="true"/>
        </w:trPr>
        <w:tc>
          <w:tcPr>
            <w:tcW w:type="dxa" w:w="3742"/>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Record</w:t>
            </w:r>
          </w:p>
        </w:tc>
        <w:tc>
          <w:tcPr>
            <w:tcW w:type="dxa" w:w="277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Owner</w:t>
            </w:r>
          </w:p>
        </w:tc>
        <w:tc>
          <w:tcPr>
            <w:tcW w:type="dxa" w:w="3005"/>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Retention</w:t>
            </w:r>
          </w:p>
        </w:tc>
      </w:tr>
      <w:tr>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Master Document Register</w:t>
            </w:r>
          </w:p>
        </w:tc>
        <w:tc>
          <w:tcPr>
            <w:tcW w:type="dxa" w:w="277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Controller</w:t>
            </w:r>
          </w:p>
        </w:tc>
        <w:tc>
          <w:tcPr>
            <w:tcW w:type="dxa" w:w="300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 defined by the organization's record retention requirements</w:t>
            </w:r>
          </w:p>
        </w:tc>
      </w:tr>
      <w:tr>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review / approval evidence</w:t>
            </w:r>
          </w:p>
        </w:tc>
        <w:tc>
          <w:tcPr>
            <w:tcW w:type="dxa" w:w="277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Controller / Document Owner</w:t>
            </w:r>
          </w:p>
        </w:tc>
        <w:tc>
          <w:tcPr>
            <w:tcW w:type="dxa" w:w="300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 defined by the organization's record retention requirements</w:t>
            </w:r>
          </w:p>
        </w:tc>
      </w:tr>
      <w:tr>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change / withdrawal evidence</w:t>
            </w:r>
          </w:p>
        </w:tc>
        <w:tc>
          <w:tcPr>
            <w:tcW w:type="dxa" w:w="277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Document Controller</w:t>
            </w:r>
          </w:p>
        </w:tc>
        <w:tc>
          <w:tcPr>
            <w:tcW w:type="dxa" w:w="300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 defined by the organization's record retention requirements</w:t>
            </w:r>
          </w:p>
        </w:tc>
      </w:tr>
      <w:tr>
        <w:tc>
          <w:tcPr>
            <w:tcW w:type="dxa" w:w="3742"/>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Critical EnMS records and approved calculation files</w:t>
            </w:r>
          </w:p>
        </w:tc>
        <w:tc>
          <w:tcPr>
            <w:tcW w:type="dxa" w:w="277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Relevant Process Owner</w:t>
            </w:r>
          </w:p>
        </w:tc>
        <w:tc>
          <w:tcPr>
            <w:tcW w:type="dxa" w:w="3005"/>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As defined by the organization's record retention requirements</w:t>
            </w:r>
          </w:p>
        </w:tc>
      </w:tr>
    </w:tbl>
    <w:p>
      <w:pPr>
        <w:pStyle w:val="Heading1"/>
      </w:pPr>
      <w:r>
        <w:t>8. Related Documents</w:t>
      </w:r>
    </w:p>
    <w:p>
      <w:pPr>
        <w:pStyle w:val="ListBullet"/>
        <w:spacing w:after="40"/>
      </w:pPr>
      <w:r>
        <w:rPr>
          <w:rFonts w:ascii="Cambria" w:hAnsi="Cambria" w:eastAsia="Cambria"/>
          <w:b w:val="0"/>
          <w:i w:val="0"/>
          <w:color w:val="000000"/>
          <w:sz w:val="21"/>
        </w:rPr>
        <w:t>EnMS Document Map</w:t>
      </w:r>
    </w:p>
    <w:p>
      <w:pPr>
        <w:pStyle w:val="ListBullet"/>
        <w:spacing w:after="40"/>
      </w:pPr>
      <w:r>
        <w:rPr>
          <w:rFonts w:ascii="Cambria" w:hAnsi="Cambria" w:eastAsia="Cambria"/>
          <w:b w:val="0"/>
          <w:i w:val="0"/>
          <w:color w:val="000000"/>
          <w:sz w:val="21"/>
        </w:rPr>
        <w:t>Energy Management System Guidance</w:t>
      </w:r>
    </w:p>
    <w:p>
      <w:pPr>
        <w:pStyle w:val="ListBullet"/>
        <w:spacing w:after="40"/>
      </w:pPr>
      <w:r>
        <w:rPr>
          <w:rFonts w:ascii="Cambria" w:hAnsi="Cambria" w:eastAsia="Cambria"/>
          <w:b w:val="0"/>
          <w:i w:val="0"/>
          <w:color w:val="000000"/>
          <w:sz w:val="21"/>
        </w:rPr>
        <w:t>Energy Management Review Procedure</w:t>
      </w:r>
    </w:p>
    <w:p>
      <w:pPr>
        <w:pStyle w:val="ListBullet"/>
        <w:spacing w:after="40"/>
      </w:pPr>
      <w:r>
        <w:rPr>
          <w:rFonts w:ascii="Cambria" w:hAnsi="Cambria" w:eastAsia="Cambria"/>
          <w:b w:val="0"/>
          <w:i w:val="0"/>
          <w:color w:val="000000"/>
          <w:sz w:val="21"/>
        </w:rPr>
        <w:t>Internal Energy Audit Procedure</w:t>
      </w:r>
    </w:p>
    <w:p>
      <w:pPr>
        <w:pStyle w:val="ListBullet"/>
        <w:spacing w:after="40"/>
      </w:pPr>
      <w:r>
        <w:rPr>
          <w:rFonts w:ascii="Cambria" w:hAnsi="Cambria" w:eastAsia="Cambria"/>
          <w:b w:val="0"/>
          <w:i w:val="0"/>
          <w:color w:val="000000"/>
          <w:sz w:val="21"/>
        </w:rPr>
        <w:t>Organization master retention schedule and information-security controls</w:t>
      </w:r>
    </w:p>
    <w:p>
      <w:pPr>
        <w:pStyle w:val="Heading1"/>
      </w:pPr>
      <w:r>
        <w:t>References</w:t>
      </w:r>
    </w:p>
    <w:p>
      <w:pPr>
        <w:spacing w:after="80"/>
      </w:pPr>
      <w:r>
        <w:rPr>
          <w:rFonts w:ascii="Cambria" w:hAnsi="Cambria" w:eastAsia="Cambria"/>
          <w:b/>
          <w:i w:val="0"/>
          <w:color w:val="000000"/>
          <w:sz w:val="19"/>
        </w:rPr>
        <w:t>ISO 50001:2018 - Energy management systems - Requirements with guidance for use</w:t>
      </w:r>
      <w:r>
        <w:rPr>
          <w:rFonts w:ascii="Cambria" w:hAnsi="Cambria" w:eastAsia="Cambria"/>
          <w:b w:val="0"/>
          <w:i w:val="0"/>
          <w:color w:val="7F7F7F"/>
          <w:sz w:val="18"/>
        </w:rPr>
        <w:br/>
        <w:t>https://www.iso.org/standard/69426.html</w:t>
      </w:r>
    </w:p>
    <w:p>
      <w:pPr>
        <w:spacing w:after="80"/>
      </w:pPr>
      <w:r>
        <w:rPr>
          <w:rFonts w:ascii="Cambria" w:hAnsi="Cambria" w:eastAsia="Cambria"/>
          <w:b/>
          <w:i w:val="0"/>
          <w:color w:val="000000"/>
          <w:sz w:val="19"/>
        </w:rPr>
        <w:t>ISO 50001:2018/Amd 1:2024 - Climate action changes</w:t>
      </w:r>
      <w:r>
        <w:rPr>
          <w:rFonts w:ascii="Cambria" w:hAnsi="Cambria" w:eastAsia="Cambria"/>
          <w:b w:val="0"/>
          <w:i w:val="0"/>
          <w:color w:val="7F7F7F"/>
          <w:sz w:val="18"/>
        </w:rPr>
        <w:br/>
        <w:t>https://www.iso.org/standard/88430.html</w:t>
      </w:r>
    </w:p>
    <w:p>
      <w:pPr>
        <w:spacing w:after="80"/>
      </w:pPr>
      <w:r>
        <w:rPr>
          <w:rFonts w:ascii="Cambria" w:hAnsi="Cambria" w:eastAsia="Cambria"/>
          <w:b/>
          <w:i w:val="0"/>
          <w:color w:val="000000"/>
          <w:sz w:val="19"/>
        </w:rPr>
        <w:t>ISO 50004:2020 - Guidance for implementation, maintenance and improvement of an ISO 50001 EnMS</w:t>
      </w:r>
      <w:r>
        <w:rPr>
          <w:rFonts w:ascii="Cambria" w:hAnsi="Cambria" w:eastAsia="Cambria"/>
          <w:b w:val="0"/>
          <w:i w:val="0"/>
          <w:color w:val="7F7F7F"/>
          <w:sz w:val="18"/>
        </w:rPr>
        <w:br/>
        <w:t>https://www.iso.org/standard/74863.html</w:t>
      </w:r>
    </w:p>
    <w:p>
      <w:pPr>
        <w:spacing w:after="80"/>
      </w:pPr>
      <w:r>
        <w:rPr>
          <w:rFonts w:ascii="Cambria" w:hAnsi="Cambria" w:eastAsia="Cambria"/>
          <w:b/>
          <w:i w:val="0"/>
          <w:color w:val="000000"/>
          <w:sz w:val="19"/>
        </w:rPr>
        <w:t>ISO 50006:2023 - Evaluating energy performance using EnPIs and energy baselines</w:t>
      </w:r>
      <w:r>
        <w:rPr>
          <w:rFonts w:ascii="Cambria" w:hAnsi="Cambria" w:eastAsia="Cambria"/>
          <w:b w:val="0"/>
          <w:i w:val="0"/>
          <w:color w:val="7F7F7F"/>
          <w:sz w:val="18"/>
        </w:rPr>
        <w:br/>
        <w:t>https://www.iso.org/standard/79367.html</w:t>
      </w:r>
    </w:p>
    <w:p>
      <w:pPr>
        <w:spacing w:before="80" w:after="120"/>
        <w:shd w:fill="FFF2CC"/>
      </w:pPr>
      <w:r>
        <w:rPr>
          <w:rFonts w:ascii="Cambria" w:hAnsi="Cambria" w:eastAsia="Cambria"/>
          <w:b/>
          <w:i/>
          <w:color w:val="C00000"/>
          <w:sz w:val="19"/>
        </w:rPr>
        <w:t xml:space="preserve">[Note] </w:t>
      </w:r>
      <w:r>
        <w:rPr>
          <w:rFonts w:ascii="Cambria" w:hAnsi="Cambria" w:eastAsia="Cambria"/>
          <w:b w:val="0"/>
          <w:i/>
          <w:color w:val="C00000"/>
          <w:sz w:val="19"/>
        </w:rPr>
        <w:t>Use the organization's licensed copy of the applicable standards when confirming detailed requirements. This toolkit paraphrases requirements and does not reproduce ISO standard text.</w:t>
      </w:r>
    </w:p>
    <w:p>
      <w:pPr>
        <w:pStyle w:val="Heading1"/>
      </w:pPr>
      <w:r>
        <w:t>Revision and Approval</w:t>
      </w:r>
    </w:p>
    <w:tbl>
      <w:tblPr>
        <w:tblW w:type="auto" w:w="0"/>
        <w:jc w:val="center"/>
        <w:tblLayout w:type="fixed"/>
        <w:tblLook w:val="04A0"/>
      </w:tblPr>
      <w:tblGrid>
        <w:gridCol w:w="3118"/>
        <w:gridCol w:w="3118"/>
        <w:gridCol w:w="3118"/>
      </w:tblGrid>
      <w:tr>
        <w:trPr>
          <w:tblHeader w:val="true"/>
        </w:trPr>
        <w:tc>
          <w:tcPr>
            <w:tcW w:type="dxa" w:w="136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Version</w:t>
            </w:r>
          </w:p>
        </w:tc>
        <w:tc>
          <w:tcPr>
            <w:tcW w:type="dxa" w:w="1928"/>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c>
          <w:tcPr>
            <w:tcW w:type="dxa" w:w="6236"/>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Description</w:t>
            </w:r>
          </w:p>
        </w:tc>
      </w:tr>
      <w:tr>
        <w:tc>
          <w:tcPr>
            <w:tcW w:type="dxa" w:w="136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1.0</w:t>
            </w:r>
          </w:p>
        </w:tc>
        <w:tc>
          <w:tcPr>
            <w:tcW w:type="dxa" w:w="1928"/>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2026-09-19</w:t>
            </w:r>
          </w:p>
        </w:tc>
        <w:tc>
          <w:tcPr>
            <w:tcW w:type="dxa" w:w="6236"/>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Initial issue</w:t>
            </w:r>
          </w:p>
        </w:tc>
      </w:tr>
    </w:tbl>
    <w:p/>
    <w:tbl>
      <w:tblPr>
        <w:tblW w:type="auto" w:w="0"/>
        <w:jc w:val="center"/>
        <w:tblLayout w:type="fixed"/>
        <w:tblLook w:val="04A0"/>
      </w:tblPr>
      <w:tblGrid>
        <w:gridCol w:w="2339"/>
        <w:gridCol w:w="2339"/>
        <w:gridCol w:w="2339"/>
        <w:gridCol w:w="2339"/>
      </w:tblGrid>
      <w:tr>
        <w:trPr>
          <w:tblHeader w:val="true"/>
        </w:trPr>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Prepared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Reviewed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Approved by</w:t>
            </w:r>
          </w:p>
        </w:tc>
        <w:tc>
          <w:tcPr>
            <w:tcW w:type="dxa" w:w="2381"/>
            <w:tcBorders>
              <w:top w:val="single" w:sz="4" w:color="B7C3CD"/>
              <w:left w:val="single" w:sz="4" w:color="B7C3CD"/>
              <w:bottom w:val="single" w:sz="4" w:color="B7C3CD"/>
              <w:right w:val="single" w:sz="4" w:color="B7C3CD"/>
              <w:insideH w:val="single" w:sz="4" w:color="B7C3CD"/>
              <w:insideV w:val="single" w:sz="4" w:color="B7C3CD"/>
            </w:tcBorders>
            <w:shd w:fill="D9EAF7" w:val="clear"/>
            <w:tcMar>
              <w:top w:w="70" w:type="dxa"/>
              <w:left w:w="80" w:type="dxa"/>
              <w:bottom w:w="70" w:type="dxa"/>
              <w:right w:w="80" w:type="dxa"/>
            </w:tcMar>
            <w:vAlign w:val="center"/>
          </w:tcPr>
          <w:p>
            <w:pPr>
              <w:jc w:val="center"/>
            </w:pPr>
            <w:r>
              <w:rPr>
                <w:rFonts w:ascii="Cambria" w:hAnsi="Cambria" w:eastAsia="Cambria"/>
                <w:b/>
                <w:i w:val="0"/>
                <w:color w:val="000000"/>
                <w:sz w:val="17"/>
              </w:rPr>
              <w:t>Date</w:t>
            </w:r>
          </w:p>
        </w:tc>
      </w:tr>
      <w:tr>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[PREPARED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[REVIEWED BY]</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[APPROVER]</w:t>
            </w:r>
          </w:p>
        </w:tc>
        <w:tc>
          <w:tcPr>
            <w:tcW w:type="dxa" w:w="2381"/>
            <w:tcBorders>
              <w:top w:val="single" w:sz="3" w:color="D2D8DD"/>
              <w:left w:val="single" w:sz="3" w:color="D2D8DD"/>
              <w:bottom w:val="single" w:sz="3" w:color="D2D8DD"/>
              <w:right w:val="single" w:sz="3" w:color="D2D8DD"/>
              <w:insideH w:val="single" w:sz="3" w:color="D2D8DD"/>
              <w:insideV w:val="single" w:sz="3" w:color="D2D8DD"/>
            </w:tcBorders>
            <w:tcMar>
              <w:top w:w="70" w:type="dxa"/>
              <w:left w:w="80" w:type="dxa"/>
              <w:bottom w:w="70" w:type="dxa"/>
              <w:right w:w="80" w:type="dxa"/>
            </w:tcMar>
            <w:vAlign w:val="top"/>
          </w:tcPr>
          <w:p>
            <w:pPr>
              <w:spacing w:after="20"/>
            </w:pPr>
            <w:r>
              <w:rPr>
                <w:rFonts w:ascii="Cambria" w:hAnsi="Cambria" w:eastAsia="Cambria"/>
                <w:b w:val="0"/>
                <w:i w:val="0"/>
                <w:color w:val="000000"/>
                <w:sz w:val="18"/>
              </w:rPr>
              <w:t>[DATE]</w:t>
            </w:r>
          </w:p>
        </w:tc>
      </w:tr>
    </w:tbl>
    <w:sectPr w:rsidR="00FC693F" w:rsidRPr="0006063C" w:rsidSect="00034616">
      <w:headerReference w:type="default" r:id="rId9"/>
      <w:footerReference w:type="default" r:id="rId10"/>
      <w:pgSz w:w="11906" w:h="16838"/>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p>
    <w:pPr>
      <w:pStyle w:val="Footer"/>
      <w:jc w:val="center"/>
    </w:pPr>
    <w:r>
      <w:rPr>
        <w:rFonts w:ascii="Cambria" w:hAnsi="Cambria" w:eastAsia="Cambria"/>
        <w:b w:val="0"/>
        <w:i w:val="0"/>
        <w:color w:val="7F7F7F"/>
        <w:sz w:val="16"/>
      </w:rPr>
      <w:t xml:space="preserve">ISO TOOLKITS DOCUMENT | www.iso-toolkits.org | info@iso-toolkits.org | Page </w:t>
    </w:r>
    <w:r>
      <w:rPr>
        <w:rFonts w:ascii="Cambria" w:hAnsi="Cambria" w:eastAsia="Cambria"/>
        <w:b w:val="0"/>
        <w:i w:val="0"/>
        <w:color w:val="7F7F7F"/>
        <w:sz w:val="16"/>
      </w:rPr>
      <w:fldChar w:fldCharType="begin"/>
      <w:instrText xml:space="preserve">PAGE</w:instrText>
      <w:fldChar w:fldCharType="end"/>
    </w:r>
    <w:r>
      <w:rPr>
        <w:rFonts w:ascii="Cambria" w:hAnsi="Cambria" w:eastAsia="Cambria"/>
        <w:b w:val="0"/>
        <w:i w:val="0"/>
        <w:color w:val="7F7F7F"/>
        <w:sz w:val="16"/>
      </w:rPr>
      <w:t xml:space="preserve"> of </w:t>
    </w:r>
    <w:r>
      <w:rPr>
        <w:rFonts w:ascii="Cambria" w:hAnsi="Cambria" w:eastAsia="Cambria"/>
        <w:b w:val="0"/>
        <w:i w:val="0"/>
        <w:color w:val="7F7F7F"/>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w:tbl>
    <w:tblPr>
      <w:tblW w:type="auto" w:w="0"/>
      <w:jc w:val="center"/>
      <w:tblLayout w:type="fixed"/>
      <w:tblLook w:val="04A0"/>
    </w:tblPr>
    <w:tblGrid>
      <w:gridCol w:w="3118"/>
      <w:gridCol w:w="3118"/>
      <w:gridCol w:w="3118"/>
    </w:tblGrid>
    <w:tr>
      <w:tc>
        <w:tcPr>
          <w:tcW w:type="dxa" w:w="192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left"/>
          </w:pPr>
          <w:r>
            <w:rPr>
              <w:rFonts w:ascii="Cambria" w:hAnsi="Cambria" w:eastAsia="Cambria"/>
              <w:b w:val="0"/>
              <w:i w:val="0"/>
              <w:color w:val="7F7F7F"/>
              <w:sz w:val="16"/>
            </w:rPr>
            <w:t>ORGANIZATION LOGO</w:t>
          </w:r>
        </w:p>
      </w:tc>
      <w:tc>
        <w:tcPr>
          <w:tcW w:type="dxa" w:w="4989"/>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center"/>
          </w:pPr>
          <w:r>
            <w:rPr>
              <w:rFonts w:ascii="Cambria" w:hAnsi="Cambria" w:eastAsia="Cambria"/>
              <w:b w:val="0"/>
              <w:i w:val="0"/>
              <w:color w:val="1F4E79"/>
              <w:sz w:val="16"/>
            </w:rPr>
            <w:t>[ORGANIZATION NAME]</w:t>
          </w:r>
          <w:r>
            <w:rPr>
              <w:rFonts w:ascii="Cambria" w:hAnsi="Cambria" w:eastAsia="Cambria"/>
              <w:b/>
              <w:i w:val="0"/>
              <w:color w:val="1F4E79"/>
              <w:sz w:val="16"/>
            </w:rPr>
            <w:br/>
            <w:t>Documented Information Procedure</w:t>
          </w:r>
        </w:p>
      </w:tc>
      <w:tc>
        <w:tcPr>
          <w:tcW w:type="dxa" w:w="2438"/>
          <w:tcBorders>
            <w:top w:val="single" w:sz="2" w:color="D9E1E8"/>
            <w:left w:val="single" w:sz="2" w:color="D9E1E8"/>
            <w:bottom w:val="single" w:sz="2" w:color="D9E1E8"/>
            <w:right w:val="single" w:sz="2" w:color="D9E1E8"/>
            <w:insideH w:val="single" w:sz="2" w:color="D9E1E8"/>
            <w:insideV w:val="single" w:sz="2" w:color="D9E1E8"/>
          </w:tcBorders>
          <w:tcMar>
            <w:top w:w="40" w:type="dxa"/>
            <w:left w:w="55" w:type="dxa"/>
            <w:bottom w:w="40" w:type="dxa"/>
            <w:right w:w="55" w:type="dxa"/>
          </w:tcMar>
        </w:tcPr>
        <w:p>
          <w:pPr>
            <w:jc w:val="right"/>
          </w:pPr>
          <w:r>
            <w:rPr>
              <w:rFonts w:ascii="Cambria" w:hAnsi="Cambria" w:eastAsia="Cambria"/>
              <w:b w:val="0"/>
              <w:i w:val="0"/>
              <w:color w:val="7F7F7F"/>
              <w:sz w:val="16"/>
            </w:rPr>
            <w:t>EnMS-PRO-003</w:t>
          </w:r>
          <w:r>
            <w:rPr>
              <w:rFonts w:ascii="Cambria" w:hAnsi="Cambria" w:eastAsia="Cambria"/>
              <w:b w:val="0"/>
              <w:i w:val="0"/>
              <w:color w:val="7F7F7F"/>
              <w:sz w:val="16"/>
            </w:rPr>
            <w:br/>
            <w:t>Version 1.0</w:t>
          </w:r>
          <w:r>
            <w:rPr>
              <w:rFonts w:ascii="Cambria" w:hAnsi="Cambria" w:eastAsia="Cambria"/>
              <w:b w:val="0"/>
              <w:i w:val="0"/>
              <w:color w:val="7F7F7F"/>
              <w:sz w:val="16"/>
            </w:rPr>
            <w:br/>
            <w:t>Effective: 2026-09-19</w:t>
          </w:r>
        </w:p>
      </w:tc>
    </w:tr>
  </w:tbl>
</w:hdr>
</file>

<file path=word/numbering.xml><?xml version="1.0" encoding="utf-8"?>
<w:numbering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left w:val="1"/>
      <w:numFmt w:val="decimal"/>
      <w:lvlText w:val="%1."/>
      <w:lvlJc w:val="left"/>
      <w:pPr>
        <w:tabs>
          <w:tab w:val="num" w:pos="1800"/>
        </w:tabs>
        <w:ind w:left="1800" w:hanging="360"/>
      </w:pPr>
    </w:lvl>
  </w:abstractNum>
  <w:abstractNum w:abstractNumId="1">
    <w:nsid w:val="FFFFFF7D"/>
    <w:multiLevelType w:val="singleLevel"/>
    <w:tmpl w:val="E4089024"/>
    <w:lvl w:ilvl="0">
      <w:left w:val="1"/>
      <w:numFmt w:val="decimal"/>
      <w:lvlText w:val="%1."/>
      <w:lvlJc w:val="left"/>
      <w:pPr>
        <w:tabs>
          <w:tab w:val="num" w:pos="1440"/>
        </w:tabs>
        <w:ind w:left="1440" w:hanging="360"/>
      </w:pPr>
    </w:lvl>
  </w:abstractNum>
  <w:abstractNum w:abstractNumId="2">
    <w:nsid w:val="FFFFFF7E"/>
    <w:multiLevelType w:val="singleLevel"/>
    <w:tmpl w:val="FB12693A"/>
    <w:lvl w:ilvl="0">
      <w:lef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lef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lef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lef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lef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lef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lef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40"/>
    </w:pPr>
    <w:rPr>
      <w:rFonts w:ascii="Cambria" w:hAnsi="Cambr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Procedure</dc:title>
  <dc:subject>Control of documented information for the ISO 50001 energy management system</dc:subject>
  <dc:creator>ISO Toolkits</dc:creator>
  <cp:keywords>ISO 50001, EnMS, energy management, ISO Toolkits</cp:keywords>
  <dc:description>Professional ISO 50001 implementation toolkit document.</dc:description>
  <cp:lastModifiedBy/>
  <cp:revision>1</cp:revision>
  <dcterms:created xsi:type="dcterms:W3CDTF">2013-12-23T23:15:00Z</dcterms:created>
  <dcterms:modified xsi:type="dcterms:W3CDTF">2013-12-23T23:15:00Z</dcterms:modified>
  <cp:category/>
</cp:coreProperties>
</file>