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Cambria" w:hAnsi="Cambria" w:eastAsia="Cambria"/>
          <w:b/>
          <w:i w:val="0"/>
          <w:color w:val="1F4E79"/>
          <w:sz w:val="44"/>
        </w:rPr>
        <w:t>Documented Information Guidance</w:t>
      </w:r>
    </w:p>
    <w:p>
      <w:pPr>
        <w:jc w:val="center"/>
      </w:pPr>
      <w:r>
        <w:rPr>
          <w:rFonts w:ascii="Cambria" w:hAnsi="Cambria" w:eastAsia="Cambria"/>
          <w:b/>
          <w:i w:val="0"/>
          <w:color w:val="7F7F7F"/>
          <w:sz w:val="22"/>
        </w:rPr>
        <w:t>ISO 50001 ENERGY MANAGEMENT SYSTEM TOOLKIT</w:t>
      </w:r>
    </w:p>
    <w:p/>
    <w:tbl>
      <w:tblPr>
        <w:tblW w:type="auto" w:w="0"/>
        <w:jc w:val="center"/>
        <w:tblLayout w:type="fixed"/>
        <w:tblLook w:val="04A0"/>
      </w:tblPr>
      <w:tblGrid>
        <w:gridCol w:w="2339"/>
        <w:gridCol w:w="2339"/>
        <w:gridCol w:w="2339"/>
        <w:gridCol w:w="2339"/>
      </w:tblGrid>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Code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EnMS-MAN-002</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Type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Guidance</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Applicable Standard</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ISO 50001:2018 + Amendment 1:2024</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Version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1.0</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Effective Date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2026-09-19</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Next Review Date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2027-09-19</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Owner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[DOCUMENT OWNER]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Approver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[APPROVER]</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Classification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INTERNAL</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Review Cycle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Annual / Upon Significant Change</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Organization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[ORGANIZATION NAME]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Status</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Controlled Template</w:t>
            </w:r>
          </w:p>
        </w:tc>
      </w:tr>
    </w:tbl>
    <w:p/>
    <w:p>
      <w:pPr>
        <w:jc w:val="center"/>
      </w:pPr>
      <w:r>
        <w:rPr>
          <w:rFonts w:ascii="Cambria" w:hAnsi="Cambria" w:eastAsia="Cambria"/>
          <w:b w:val="0"/>
          <w:i w:val="0"/>
          <w:color w:val="7F7F7F"/>
          <w:sz w:val="18"/>
        </w:rPr>
        <w:t>Website: www.iso-toolkits.org | Email: info@iso-toolkits.org</w:t>
      </w:r>
    </w:p>
    <w:p>
      <w:r>
        <w:br w:type="page"/>
      </w:r>
    </w:p>
    <w:p>
      <w:pPr>
        <w:pStyle w:val="Heading1"/>
      </w:pPr>
      <w:r>
        <w:t>1. Purpose of this Guidance</w:t>
      </w:r>
    </w:p>
    <w:p>
      <w:r>
        <w:rPr>
          <w:rFonts w:ascii="Cambria" w:hAnsi="Cambria" w:eastAsia="Cambria"/>
          <w:b w:val="0"/>
          <w:i w:val="0"/>
          <w:color w:val="000000"/>
          <w:sz w:val="21"/>
        </w:rPr>
        <w:t>This guidance helps organizations decide what EnMS information to document, how to structure it, how much control to apply and how to keep records useful for operation, energy-performance evaluation and audit. It is intended to complement the Documented Information Procedure, not replace it.</w:t>
      </w:r>
    </w:p>
    <w:p>
      <w:pPr>
        <w:pStyle w:val="Heading1"/>
      </w:pPr>
      <w:r>
        <w:t>2. A Practical Documentation Model</w:t>
      </w:r>
    </w:p>
    <w:tbl>
      <w:tblPr>
        <w:tblW w:type="auto" w:w="0"/>
        <w:jc w:val="center"/>
        <w:tblLayout w:type="fixed"/>
        <w:tblLook w:val="04A0"/>
      </w:tblPr>
      <w:tblGrid>
        <w:gridCol w:w="3118"/>
        <w:gridCol w:w="3118"/>
        <w:gridCol w:w="3118"/>
      </w:tblGrid>
      <w:tr>
        <w:trPr>
          <w:tblHeader w:val="true"/>
        </w:trPr>
        <w:tc>
          <w:tcPr>
            <w:tcW w:type="dxa" w:w="1587"/>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Level</w:t>
            </w:r>
          </w:p>
        </w:tc>
        <w:tc>
          <w:tcPr>
            <w:tcW w:type="dxa" w:w="328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Typical document types</w:t>
            </w:r>
          </w:p>
        </w:tc>
        <w:tc>
          <w:tcPr>
            <w:tcW w:type="dxa" w:w="4649"/>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What they should accomplish</w:t>
            </w:r>
          </w:p>
        </w:tc>
      </w:tr>
      <w:tr>
        <w:tc>
          <w:tcPr>
            <w:tcW w:type="dxa" w:w="158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Direction</w:t>
            </w:r>
          </w:p>
        </w:tc>
        <w:tc>
          <w:tcPr>
            <w:tcW w:type="dxa" w:w="328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Energy policy, EnMS manual or governance framework</w:t>
            </w:r>
          </w:p>
        </w:tc>
        <w:tc>
          <w:tcPr>
            <w:tcW w:type="dxa" w:w="464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State commitments, scope, system architecture and management intent.</w:t>
            </w:r>
          </w:p>
        </w:tc>
      </w:tr>
      <w:tr>
        <w:tc>
          <w:tcPr>
            <w:tcW w:type="dxa" w:w="158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Control</w:t>
            </w:r>
          </w:p>
        </w:tc>
        <w:tc>
          <w:tcPr>
            <w:tcW w:type="dxa" w:w="328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Procedures, process controls, procurement/design criteria</w:t>
            </w:r>
          </w:p>
        </w:tc>
        <w:tc>
          <w:tcPr>
            <w:tcW w:type="dxa" w:w="464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Define who does what, when and under what conditions.</w:t>
            </w:r>
          </w:p>
        </w:tc>
      </w:tr>
      <w:tr>
        <w:tc>
          <w:tcPr>
            <w:tcW w:type="dxa" w:w="158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Execution</w:t>
            </w:r>
          </w:p>
        </w:tc>
        <w:tc>
          <w:tcPr>
            <w:tcW w:type="dxa" w:w="328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Work instructions, checklists, forms, monitoring plans</w:t>
            </w:r>
          </w:p>
        </w:tc>
        <w:tc>
          <w:tcPr>
            <w:tcW w:type="dxa" w:w="464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Support consistent execution and capture required data or evidence.</w:t>
            </w:r>
          </w:p>
        </w:tc>
      </w:tr>
      <w:tr>
        <w:tc>
          <w:tcPr>
            <w:tcW w:type="dxa" w:w="158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Evidence</w:t>
            </w:r>
          </w:p>
        </w:tc>
        <w:tc>
          <w:tcPr>
            <w:tcW w:type="dxa" w:w="328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Registers, logs, reports, minutes, approvals, energy data</w:t>
            </w:r>
          </w:p>
        </w:tc>
        <w:tc>
          <w:tcPr>
            <w:tcW w:type="dxa" w:w="464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Demonstrate what actually happened and support decisions.</w:t>
            </w:r>
          </w:p>
        </w:tc>
      </w:tr>
      <w:tr>
        <w:tc>
          <w:tcPr>
            <w:tcW w:type="dxa" w:w="158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Reference</w:t>
            </w:r>
          </w:p>
        </w:tc>
        <w:tc>
          <w:tcPr>
            <w:tcW w:type="dxa" w:w="328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External standards, laws, manuals, tariffs, specifications</w:t>
            </w:r>
          </w:p>
        </w:tc>
        <w:tc>
          <w:tcPr>
            <w:tcW w:type="dxa" w:w="464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Provide authoritative information needed to operate or evaluate the EnMS.</w:t>
            </w:r>
          </w:p>
        </w:tc>
      </w:tr>
    </w:tbl>
    <w:p>
      <w:pPr>
        <w:spacing w:before="80" w:after="120"/>
        <w:shd w:fill="FFF2CC"/>
      </w:pPr>
      <w:r>
        <w:rPr>
          <w:rFonts w:ascii="Cambria" w:hAnsi="Cambria" w:eastAsia="Cambria"/>
          <w:b/>
          <w:i/>
          <w:color w:val="C00000"/>
          <w:sz w:val="19"/>
        </w:rPr>
        <w:t xml:space="preserve">[Note] </w:t>
      </w:r>
      <w:r>
        <w:rPr>
          <w:rFonts w:ascii="Cambria" w:hAnsi="Cambria" w:eastAsia="Cambria"/>
          <w:b w:val="0"/>
          <w:i/>
          <w:color w:val="C00000"/>
          <w:sz w:val="19"/>
        </w:rPr>
        <w:t>A large document library is not a sign of a mature EnMS. Prefer the smallest controlled set that users can maintain accurately and that produces the evidence needed to manage energy performance.</w:t>
      </w:r>
    </w:p>
    <w:p>
      <w:pPr>
        <w:pStyle w:val="Heading1"/>
      </w:pPr>
      <w:r>
        <w:t>3. What to Document</w:t>
      </w:r>
    </w:p>
    <w:tbl>
      <w:tblPr>
        <w:tblW w:type="auto" w:w="0"/>
        <w:jc w:val="center"/>
        <w:tblLayout w:type="fixed"/>
        <w:tblLook w:val="04A0"/>
      </w:tblPr>
      <w:tblGrid>
        <w:gridCol w:w="4677"/>
        <w:gridCol w:w="4677"/>
      </w:tblGrid>
      <w:tr>
        <w:trPr>
          <w:tblHeader w:val="true"/>
        </w:trPr>
        <w:tc>
          <w:tcPr>
            <w:tcW w:type="dxa" w:w="306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Question</w:t>
            </w:r>
          </w:p>
        </w:tc>
        <w:tc>
          <w:tcPr>
            <w:tcW w:type="dxa" w:w="6463"/>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Practical test</w:t>
            </w:r>
          </w:p>
        </w:tc>
      </w:tr>
      <w:tr>
        <w:tc>
          <w:tcPr>
            <w:tcW w:type="dxa" w:w="30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Does the information direct repeatable work?</w:t>
            </w:r>
          </w:p>
        </w:tc>
        <w:tc>
          <w:tcPr>
            <w:tcW w:type="dxa" w:w="646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the required sequence, control or decision rule if inconsistent execution could affect the EnMS or energy performance.</w:t>
            </w:r>
          </w:p>
        </w:tc>
      </w:tr>
      <w:tr>
        <w:tc>
          <w:tcPr>
            <w:tcW w:type="dxa" w:w="30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Is objective evidence needed?</w:t>
            </w:r>
          </w:p>
        </w:tc>
        <w:tc>
          <w:tcPr>
            <w:tcW w:type="dxa" w:w="646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Use a form, register, log, report or system record that captures the evidence at the time of activity.</w:t>
            </w:r>
          </w:p>
        </w:tc>
      </w:tr>
      <w:tr>
        <w:tc>
          <w:tcPr>
            <w:tcW w:type="dxa" w:w="30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Is a calculation or model used for decisions?</w:t>
            </w:r>
          </w:p>
        </w:tc>
        <w:tc>
          <w:tcPr>
            <w:tcW w:type="dxa" w:w="646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Control the method, input data, assumptions, version and approval. This is particularly important for EnPIs, EnBs and savings verification.</w:t>
            </w:r>
          </w:p>
        </w:tc>
      </w:tr>
      <w:tr>
        <w:tc>
          <w:tcPr>
            <w:tcW w:type="dxa" w:w="30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Is the information externally controlled?</w:t>
            </w:r>
          </w:p>
        </w:tc>
        <w:tc>
          <w:tcPr>
            <w:tcW w:type="dxa" w:w="646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Identify the source and current status; avoid uncontrolled local copies when a managed source is available.</w:t>
            </w:r>
          </w:p>
        </w:tc>
      </w:tr>
      <w:tr>
        <w:tc>
          <w:tcPr>
            <w:tcW w:type="dxa" w:w="30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Would combining documents improve usability?</w:t>
            </w:r>
          </w:p>
        </w:tc>
        <w:tc>
          <w:tcPr>
            <w:tcW w:type="dxa" w:w="646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Combine related controls if ownership and evidence remain clear. Avoid splitting one simple process into many files.</w:t>
            </w:r>
          </w:p>
        </w:tc>
      </w:tr>
    </w:tbl>
    <w:p>
      <w:pPr>
        <w:pStyle w:val="Heading1"/>
      </w:pPr>
      <w:r>
        <w:t>4. Writing Rules for EnMS Documents</w:t>
      </w:r>
    </w:p>
    <w:p>
      <w:pPr>
        <w:pStyle w:val="ListBullet"/>
        <w:spacing w:after="40"/>
      </w:pPr>
      <w:r>
        <w:rPr>
          <w:rFonts w:ascii="Cambria" w:hAnsi="Cambria" w:eastAsia="Cambria"/>
          <w:b w:val="0"/>
          <w:i w:val="0"/>
          <w:color w:val="000000"/>
          <w:sz w:val="21"/>
        </w:rPr>
        <w:t>Write for the person performing the work, not for the auditor.</w:t>
      </w:r>
    </w:p>
    <w:p>
      <w:pPr>
        <w:pStyle w:val="ListBullet"/>
        <w:spacing w:after="40"/>
      </w:pPr>
      <w:r>
        <w:rPr>
          <w:rFonts w:ascii="Cambria" w:hAnsi="Cambria" w:eastAsia="Cambria"/>
          <w:b w:val="0"/>
          <w:i w:val="0"/>
          <w:color w:val="000000"/>
          <w:sz w:val="21"/>
        </w:rPr>
        <w:t>Use active verbs and role names: "Energy Manager reviews" is clearer than "shall be reviewed".</w:t>
      </w:r>
    </w:p>
    <w:p>
      <w:pPr>
        <w:pStyle w:val="ListBullet"/>
        <w:spacing w:after="40"/>
      </w:pPr>
      <w:r>
        <w:rPr>
          <w:rFonts w:ascii="Cambria" w:hAnsi="Cambria" w:eastAsia="Cambria"/>
          <w:b w:val="0"/>
          <w:i w:val="0"/>
          <w:color w:val="000000"/>
          <w:sz w:val="21"/>
        </w:rPr>
        <w:t>Separate mandatory controls from optional guidance and examples.</w:t>
      </w:r>
    </w:p>
    <w:p>
      <w:pPr>
        <w:pStyle w:val="ListBullet"/>
        <w:spacing w:after="40"/>
      </w:pPr>
      <w:r>
        <w:rPr>
          <w:rFonts w:ascii="Cambria" w:hAnsi="Cambria" w:eastAsia="Cambria"/>
          <w:b w:val="0"/>
          <w:i w:val="0"/>
          <w:color w:val="000000"/>
          <w:sz w:val="21"/>
        </w:rPr>
        <w:t>Define acceptance criteria where a decision depends on a threshold, trend, limit or evidence.</w:t>
      </w:r>
    </w:p>
    <w:p>
      <w:pPr>
        <w:pStyle w:val="ListBullet"/>
        <w:spacing w:after="40"/>
      </w:pPr>
      <w:r>
        <w:rPr>
          <w:rFonts w:ascii="Cambria" w:hAnsi="Cambria" w:eastAsia="Cambria"/>
          <w:b w:val="0"/>
          <w:i w:val="0"/>
          <w:color w:val="000000"/>
          <w:sz w:val="21"/>
        </w:rPr>
        <w:t>Reference the source of energy data and calculation method where results can be challenged or reproduced.</w:t>
      </w:r>
    </w:p>
    <w:p>
      <w:pPr>
        <w:pStyle w:val="ListBullet"/>
        <w:spacing w:after="40"/>
      </w:pPr>
      <w:r>
        <w:rPr>
          <w:rFonts w:ascii="Cambria" w:hAnsi="Cambria" w:eastAsia="Cambria"/>
          <w:b w:val="0"/>
          <w:i w:val="0"/>
          <w:color w:val="000000"/>
          <w:sz w:val="21"/>
        </w:rPr>
        <w:t>Avoid copying standard text; explain how the organization operates instead.</w:t>
      </w:r>
    </w:p>
    <w:p>
      <w:pPr>
        <w:pStyle w:val="ListBullet"/>
        <w:spacing w:after="40"/>
      </w:pPr>
      <w:r>
        <w:rPr>
          <w:rFonts w:ascii="Cambria" w:hAnsi="Cambria" w:eastAsia="Cambria"/>
          <w:b w:val="0"/>
          <w:i w:val="0"/>
          <w:color w:val="000000"/>
          <w:sz w:val="21"/>
        </w:rPr>
        <w:t>Keep recurring forms and checklists compact. Use narrative only where it adds decision or implementation value.</w:t>
      </w:r>
    </w:p>
    <w:p>
      <w:pPr>
        <w:pStyle w:val="Heading1"/>
      </w:pPr>
      <w:r>
        <w:t>5. Control by Document Type</w:t>
      </w:r>
    </w:p>
    <w:tbl>
      <w:tblPr>
        <w:tblW w:type="auto" w:w="0"/>
        <w:jc w:val="center"/>
        <w:tblLayout w:type="fixed"/>
        <w:tblLook w:val="04A0"/>
      </w:tblPr>
      <w:tblGrid>
        <w:gridCol w:w="3118"/>
        <w:gridCol w:w="3118"/>
        <w:gridCol w:w="3118"/>
      </w:tblGrid>
      <w:tr>
        <w:trPr>
          <w:tblHeader w:val="true"/>
        </w:trPr>
        <w:tc>
          <w:tcPr>
            <w:tcW w:type="dxa" w:w="204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Document type</w:t>
            </w:r>
          </w:p>
        </w:tc>
        <w:tc>
          <w:tcPr>
            <w:tcW w:type="dxa" w:w="3855"/>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Recommended controls</w:t>
            </w:r>
          </w:p>
        </w:tc>
        <w:tc>
          <w:tcPr>
            <w:tcW w:type="dxa" w:w="36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Common mistake</w:t>
            </w:r>
          </w:p>
        </w:tc>
      </w:tr>
      <w:tr>
        <w:tc>
          <w:tcPr>
            <w:tcW w:type="dxa" w:w="204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Policy / Manual</w:t>
            </w:r>
          </w:p>
        </w:tc>
        <w:tc>
          <w:tcPr>
            <w:tcW w:type="dxa" w:w="385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Formal approval, periodic review, controlled version</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Turning the document into a long restatement of ISO requirements.</w:t>
            </w:r>
          </w:p>
        </w:tc>
      </w:tr>
      <w:tr>
        <w:tc>
          <w:tcPr>
            <w:tcW w:type="dxa" w:w="204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Procedure</w:t>
            </w:r>
          </w:p>
        </w:tc>
        <w:tc>
          <w:tcPr>
            <w:tcW w:type="dxa" w:w="385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Owner, approval, effective date, clear workflow, linked records</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Too much theory; unclear responsibility or outputs.</w:t>
            </w:r>
          </w:p>
        </w:tc>
      </w:tr>
      <w:tr>
        <w:tc>
          <w:tcPr>
            <w:tcW w:type="dxa" w:w="204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Work Instruction</w:t>
            </w:r>
          </w:p>
        </w:tc>
        <w:tc>
          <w:tcPr>
            <w:tcW w:type="dxa" w:w="385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Point-of-use access, current revision, task acceptance criteria</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Generic steps that do not reflect actual equipment or process.</w:t>
            </w:r>
          </w:p>
        </w:tc>
      </w:tr>
      <w:tr>
        <w:tc>
          <w:tcPr>
            <w:tcW w:type="dxa" w:w="204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Form / Checklist</w:t>
            </w:r>
          </w:p>
        </w:tc>
        <w:tc>
          <w:tcPr>
            <w:tcW w:type="dxa" w:w="385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Controlled template, revision status, clear fields</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Long explanatory sections that make the form difficult to use.</w:t>
            </w:r>
          </w:p>
        </w:tc>
      </w:tr>
      <w:tr>
        <w:tc>
          <w:tcPr>
            <w:tcW w:type="dxa" w:w="204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Register / Log</w:t>
            </w:r>
          </w:p>
        </w:tc>
        <w:tc>
          <w:tcPr>
            <w:tcW w:type="dxa" w:w="385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Defined owner, fields, access, status logic, evidence linkage</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Pre-populating fictitious organizational data or leaving ownership unclear.</w:t>
            </w:r>
          </w:p>
        </w:tc>
      </w:tr>
      <w:tr>
        <w:tc>
          <w:tcPr>
            <w:tcW w:type="dxa" w:w="204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Calculation / Model</w:t>
            </w:r>
          </w:p>
        </w:tc>
        <w:tc>
          <w:tcPr>
            <w:tcW w:type="dxa" w:w="385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Input source, formula/model version, approval, change traceability</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Overwriting prior approved results without retained history.</w:t>
            </w:r>
          </w:p>
        </w:tc>
      </w:tr>
    </w:tbl>
    <w:p>
      <w:pPr>
        <w:pStyle w:val="Heading1"/>
      </w:pPr>
      <w:r>
        <w:t>6. File Naming and Versioning</w:t>
      </w:r>
    </w:p>
    <w:tbl>
      <w:tblPr>
        <w:tblW w:type="auto" w:w="0"/>
        <w:jc w:val="center"/>
        <w:tblLayout w:type="fixed"/>
        <w:tblLook w:val="04A0"/>
      </w:tblPr>
      <w:tblGrid>
        <w:gridCol w:w="3118"/>
        <w:gridCol w:w="3118"/>
        <w:gridCol w:w="3118"/>
      </w:tblGrid>
      <w:tr>
        <w:trPr>
          <w:tblHeader w:val="true"/>
        </w:trPr>
        <w:tc>
          <w:tcPr>
            <w:tcW w:type="dxa" w:w="19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Element</w:t>
            </w:r>
          </w:p>
        </w:tc>
        <w:tc>
          <w:tcPr>
            <w:tcW w:type="dxa" w:w="3175"/>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Example</w:t>
            </w:r>
          </w:p>
        </w:tc>
        <w:tc>
          <w:tcPr>
            <w:tcW w:type="dxa" w:w="4422"/>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Guidance</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code</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EnMS-PRO-003</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Use a stable identifier when formal control is required.</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Title</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Documented Information Procedure</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Make the file title match the actual purpose.</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Version</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1.0</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Increase the version according to the organization's change-control convention.</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Effective date</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2026-09-19</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Use an explicit date for controlled release.</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Filename</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Documented Information Procedure.docx</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Avoid embedding temporary draft status in a released filename unless the organization specifically manages it that way.</w:t>
            </w:r>
          </w:p>
        </w:tc>
      </w:tr>
    </w:tbl>
    <w:p>
      <w:pPr>
        <w:pStyle w:val="Heading1"/>
      </w:pPr>
      <w:r>
        <w:t>7. Review and Approval Guidance</w:t>
      </w:r>
    </w:p>
    <w:tbl>
      <w:tblPr>
        <w:tblW w:type="auto" w:w="0"/>
        <w:jc w:val="center"/>
        <w:tblLayout w:type="fixed"/>
        <w:tblLook w:val="04A0"/>
      </w:tblPr>
      <w:tblGrid>
        <w:gridCol w:w="4677"/>
        <w:gridCol w:w="4677"/>
      </w:tblGrid>
      <w:tr>
        <w:trPr>
          <w:tblHeader w:val="true"/>
        </w:trPr>
        <w:tc>
          <w:tcPr>
            <w:tcW w:type="dxa" w:w="3175"/>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Review question</w:t>
            </w:r>
          </w:p>
        </w:tc>
        <w:tc>
          <w:tcPr>
            <w:tcW w:type="dxa" w:w="6350"/>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Why it matters</w:t>
            </w:r>
          </w:p>
        </w:tc>
      </w:tr>
      <w:tr>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Is the content technically correct?</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Errors in setpoints, calculations or responsibility can directly affect energy performance.</w:t>
            </w:r>
          </w:p>
        </w:tc>
      </w:tr>
      <w:tr>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Does the document match actual practice?</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 controlled document that users bypass is a weak control.</w:t>
            </w:r>
          </w:p>
        </w:tc>
      </w:tr>
      <w:tr>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Are interfaces clear?</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Energy data, procurement, design, maintenance and operational controls often cross functional boundaries.</w:t>
            </w:r>
          </w:p>
        </w:tc>
      </w:tr>
      <w:tr>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Does the document create the required evidence?</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If no record remains, later performance evaluation and audit may depend on memory.</w:t>
            </w:r>
          </w:p>
        </w:tc>
      </w:tr>
      <w:tr>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Has the impact of the change been considered?</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Changes to SEUs, EnPIs, baselines, meters or operational criteria may require related documents to be updated.</w:t>
            </w:r>
          </w:p>
        </w:tc>
      </w:tr>
    </w:tbl>
    <w:p>
      <w:pPr>
        <w:pStyle w:val="Heading1"/>
      </w:pPr>
      <w:r>
        <w:t>8. Records and Data Integrity</w:t>
      </w:r>
    </w:p>
    <w:p>
      <w:pPr>
        <w:pStyle w:val="ListBullet"/>
        <w:spacing w:after="40"/>
      </w:pPr>
      <w:r>
        <w:rPr>
          <w:rFonts w:ascii="Cambria" w:hAnsi="Cambria" w:eastAsia="Cambria"/>
          <w:b w:val="0"/>
          <w:i w:val="0"/>
          <w:color w:val="000000"/>
          <w:sz w:val="21"/>
        </w:rPr>
        <w:t>Keep the original source or a controlled extract when energy-performance calculations depend on data that can later be overwritten.</w:t>
      </w:r>
    </w:p>
    <w:p>
      <w:pPr>
        <w:pStyle w:val="ListBullet"/>
        <w:spacing w:after="40"/>
      </w:pPr>
      <w:r>
        <w:rPr>
          <w:rFonts w:ascii="Cambria" w:hAnsi="Cambria" w:eastAsia="Cambria"/>
          <w:b w:val="0"/>
          <w:i w:val="0"/>
          <w:color w:val="000000"/>
          <w:sz w:val="21"/>
        </w:rPr>
        <w:t>Retain sufficient metadata to understand period, source, units and any adjustments.</w:t>
      </w:r>
    </w:p>
    <w:p>
      <w:pPr>
        <w:pStyle w:val="ListBullet"/>
        <w:spacing w:after="40"/>
      </w:pPr>
      <w:r>
        <w:rPr>
          <w:rFonts w:ascii="Cambria" w:hAnsi="Cambria" w:eastAsia="Cambria"/>
          <w:b w:val="0"/>
          <w:i w:val="0"/>
          <w:color w:val="000000"/>
          <w:sz w:val="21"/>
        </w:rPr>
        <w:t>For manual corrections, preserve the reason and responsible person when traceability is important.</w:t>
      </w:r>
    </w:p>
    <w:p>
      <w:pPr>
        <w:pStyle w:val="ListBullet"/>
        <w:spacing w:after="40"/>
      </w:pPr>
      <w:r>
        <w:rPr>
          <w:rFonts w:ascii="Cambria" w:hAnsi="Cambria" w:eastAsia="Cambria"/>
          <w:b w:val="0"/>
          <w:i w:val="0"/>
          <w:color w:val="000000"/>
          <w:sz w:val="21"/>
        </w:rPr>
        <w:t>Restrict editing rights for approved baseline models and recurring reports when uncontrolled formula changes could alter results.</w:t>
      </w:r>
    </w:p>
    <w:p>
      <w:pPr>
        <w:pStyle w:val="ListBullet"/>
        <w:spacing w:after="40"/>
      </w:pPr>
      <w:r>
        <w:rPr>
          <w:rFonts w:ascii="Cambria" w:hAnsi="Cambria" w:eastAsia="Cambria"/>
          <w:b w:val="0"/>
          <w:i w:val="0"/>
          <w:color w:val="000000"/>
          <w:sz w:val="21"/>
        </w:rPr>
        <w:t>Use backup and recovery arrangements appropriate to the business impact of losing the data.</w:t>
      </w:r>
    </w:p>
    <w:p>
      <w:pPr>
        <w:pStyle w:val="Heading1"/>
      </w:pPr>
      <w:r>
        <w:t>9. External Documents</w:t>
      </w:r>
    </w:p>
    <w:p>
      <w:r>
        <w:rPr>
          <w:rFonts w:ascii="Cambria" w:hAnsi="Cambria" w:eastAsia="Cambria"/>
          <w:b w:val="0"/>
          <w:i w:val="0"/>
          <w:color w:val="000000"/>
          <w:sz w:val="21"/>
        </w:rPr>
        <w:t>External information should be controlled to the extent necessary for use. The key questions are: Who owns the source? How is currency checked? Where is the current source accessed? Who is informed when it changes? Examples include legal obligations, utility tariffs, technical manuals, supplier specifications and licensed ISO standards.</w:t>
      </w:r>
    </w:p>
    <w:p>
      <w:pPr>
        <w:pStyle w:val="Heading1"/>
      </w:pPr>
      <w:r>
        <w:t>10. Practical Examples</w:t>
      </w:r>
    </w:p>
    <w:tbl>
      <w:tblPr>
        <w:tblW w:type="auto" w:w="0"/>
        <w:jc w:val="center"/>
        <w:tblLayout w:type="fixed"/>
        <w:tblLook w:val="04A0"/>
      </w:tblPr>
      <w:tblGrid>
        <w:gridCol w:w="3118"/>
        <w:gridCol w:w="3118"/>
        <w:gridCol w:w="3118"/>
      </w:tblGrid>
      <w:tr>
        <w:trPr>
          <w:tblHeader w:val="true"/>
        </w:trPr>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Situation</w:t>
            </w:r>
          </w:p>
        </w:tc>
        <w:tc>
          <w:tcPr>
            <w:tcW w:type="dxa" w:w="3402"/>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Weak approach</w:t>
            </w:r>
          </w:p>
        </w:tc>
        <w:tc>
          <w:tcPr>
            <w:tcW w:type="dxa" w:w="3742"/>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Better approach</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SEU operating setpoint changes</w:t>
            </w:r>
          </w:p>
        </w:tc>
        <w:tc>
          <w:tcPr>
            <w:tcW w:type="dxa" w:w="340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Operator changes a spreadsheet and emails it informally.</w:t>
            </w:r>
          </w:p>
        </w:tc>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Change approved setpoint in the controlled operating instruction; retain change rationale and communication.</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EnPI formula revision</w:t>
            </w:r>
          </w:p>
        </w:tc>
        <w:tc>
          <w:tcPr>
            <w:tcW w:type="dxa" w:w="340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Overwrite the existing workbook formula without record.</w:t>
            </w:r>
          </w:p>
        </w:tc>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Create approved new version, retain prior method and document why the calculation changed.</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Management review evidence</w:t>
            </w:r>
          </w:p>
        </w:tc>
        <w:tc>
          <w:tcPr>
            <w:tcW w:type="dxa" w:w="340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Keep only the presentation slides.</w:t>
            </w:r>
          </w:p>
        </w:tc>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Retain inputs, decisions, action owners, due dates and approved minutes.</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Energy data correction</w:t>
            </w:r>
          </w:p>
        </w:tc>
        <w:tc>
          <w:tcPr>
            <w:tcW w:type="dxa" w:w="340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Replace a suspicious meter value silently.</w:t>
            </w:r>
          </w:p>
        </w:tc>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Record corrected value, source, reason and reviewer; keep traceability to the raw reading.</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External regulation update</w:t>
            </w:r>
          </w:p>
        </w:tc>
        <w:tc>
          <w:tcPr>
            <w:tcW w:type="dxa" w:w="340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Store a downloaded copy indefinitely.</w:t>
            </w:r>
          </w:p>
        </w:tc>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Maintain a controlled source link or update mechanism and review applicability when the requirement changes.</w:t>
            </w:r>
          </w:p>
        </w:tc>
      </w:tr>
    </w:tbl>
    <w:p>
      <w:pPr>
        <w:pStyle w:val="Heading1"/>
      </w:pPr>
      <w:r>
        <w:t>11. Quick Document Review Checklist</w:t>
      </w:r>
    </w:p>
    <w:tbl>
      <w:tblPr>
        <w:tblW w:type="auto" w:w="0"/>
        <w:jc w:val="center"/>
        <w:tblLayout w:type="fixed"/>
        <w:tblLook w:val="04A0"/>
      </w:tblPr>
      <w:tblGrid>
        <w:gridCol w:w="3118"/>
        <w:gridCol w:w="3118"/>
        <w:gridCol w:w="3118"/>
      </w:tblGrid>
      <w:tr>
        <w:trPr>
          <w:tblHeader w:val="true"/>
        </w:trPr>
        <w:tc>
          <w:tcPr>
            <w:tcW w:type="dxa" w:w="79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No.</w:t>
            </w:r>
          </w:p>
        </w:tc>
        <w:tc>
          <w:tcPr>
            <w:tcW w:type="dxa" w:w="765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Review point</w:t>
            </w:r>
          </w:p>
        </w:tc>
        <w:tc>
          <w:tcPr>
            <w:tcW w:type="dxa" w:w="1077"/>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Complete</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1</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Purpose is clear and matches the title.</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2</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Owner and intended users are identifiable.</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3</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Current version and approval status are clear.</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4</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Required actions are specific and executable.</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5</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Inputs, outputs and retained records are defined where needed.</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6</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Energy data, calculations or evidence sources are traceable where applicable.</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7</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Superseded information will not be confused with the current version.</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8</w:t>
            </w:r>
          </w:p>
        </w:tc>
        <w:tc>
          <w:tcPr>
            <w:tcW w:type="dxa" w:w="76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Content is concise enough for routine use.</w:t>
            </w:r>
          </w:p>
        </w:tc>
        <w:tc>
          <w:tcPr>
            <w:tcW w:type="dxa" w:w="107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r>
    </w:tbl>
    <w:p>
      <w:pPr>
        <w:pStyle w:val="Heading1"/>
      </w:pPr>
      <w:r>
        <w:t>References</w:t>
      </w:r>
    </w:p>
    <w:p>
      <w:pPr>
        <w:spacing w:after="80"/>
      </w:pPr>
      <w:r>
        <w:rPr>
          <w:rFonts w:ascii="Cambria" w:hAnsi="Cambria" w:eastAsia="Cambria"/>
          <w:b/>
          <w:i w:val="0"/>
          <w:color w:val="000000"/>
          <w:sz w:val="19"/>
        </w:rPr>
        <w:t>ISO 50001:2018 - Energy management systems - Requirements with guidance for use</w:t>
      </w:r>
      <w:r>
        <w:rPr>
          <w:rFonts w:ascii="Cambria" w:hAnsi="Cambria" w:eastAsia="Cambria"/>
          <w:b w:val="0"/>
          <w:i w:val="0"/>
          <w:color w:val="7F7F7F"/>
          <w:sz w:val="18"/>
        </w:rPr>
        <w:br/>
        <w:t>https://www.iso.org/standard/69426.html</w:t>
      </w:r>
    </w:p>
    <w:p>
      <w:pPr>
        <w:spacing w:after="80"/>
      </w:pPr>
      <w:r>
        <w:rPr>
          <w:rFonts w:ascii="Cambria" w:hAnsi="Cambria" w:eastAsia="Cambria"/>
          <w:b/>
          <w:i w:val="0"/>
          <w:color w:val="000000"/>
          <w:sz w:val="19"/>
        </w:rPr>
        <w:t>ISO 50001:2018/Amd 1:2024 - Climate action changes</w:t>
      </w:r>
      <w:r>
        <w:rPr>
          <w:rFonts w:ascii="Cambria" w:hAnsi="Cambria" w:eastAsia="Cambria"/>
          <w:b w:val="0"/>
          <w:i w:val="0"/>
          <w:color w:val="7F7F7F"/>
          <w:sz w:val="18"/>
        </w:rPr>
        <w:br/>
        <w:t>https://www.iso.org/standard/88430.html</w:t>
      </w:r>
    </w:p>
    <w:p>
      <w:pPr>
        <w:spacing w:after="80"/>
      </w:pPr>
      <w:r>
        <w:rPr>
          <w:rFonts w:ascii="Cambria" w:hAnsi="Cambria" w:eastAsia="Cambria"/>
          <w:b/>
          <w:i w:val="0"/>
          <w:color w:val="000000"/>
          <w:sz w:val="19"/>
        </w:rPr>
        <w:t>ISO 50004:2020 - Guidance for implementation, maintenance and improvement of an ISO 50001 EnMS</w:t>
      </w:r>
      <w:r>
        <w:rPr>
          <w:rFonts w:ascii="Cambria" w:hAnsi="Cambria" w:eastAsia="Cambria"/>
          <w:b w:val="0"/>
          <w:i w:val="0"/>
          <w:color w:val="7F7F7F"/>
          <w:sz w:val="18"/>
        </w:rPr>
        <w:br/>
        <w:t>https://www.iso.org/standard/74863.html</w:t>
      </w:r>
    </w:p>
    <w:p>
      <w:pPr>
        <w:spacing w:after="80"/>
      </w:pPr>
      <w:r>
        <w:rPr>
          <w:rFonts w:ascii="Cambria" w:hAnsi="Cambria" w:eastAsia="Cambria"/>
          <w:b/>
          <w:i w:val="0"/>
          <w:color w:val="000000"/>
          <w:sz w:val="19"/>
        </w:rPr>
        <w:t>ISO 50006:2023 - Evaluating energy performance using EnPIs and energy baselines</w:t>
      </w:r>
      <w:r>
        <w:rPr>
          <w:rFonts w:ascii="Cambria" w:hAnsi="Cambria" w:eastAsia="Cambria"/>
          <w:b w:val="0"/>
          <w:i w:val="0"/>
          <w:color w:val="7F7F7F"/>
          <w:sz w:val="18"/>
        </w:rPr>
        <w:br/>
        <w:t>https://www.iso.org/standard/79367.html</w:t>
      </w:r>
    </w:p>
    <w:p>
      <w:pPr>
        <w:spacing w:before="80" w:after="120"/>
        <w:shd w:fill="FFF2CC"/>
      </w:pPr>
      <w:r>
        <w:rPr>
          <w:rFonts w:ascii="Cambria" w:hAnsi="Cambria" w:eastAsia="Cambria"/>
          <w:b/>
          <w:i/>
          <w:color w:val="C00000"/>
          <w:sz w:val="19"/>
        </w:rPr>
        <w:t xml:space="preserve">[Note] </w:t>
      </w:r>
      <w:r>
        <w:rPr>
          <w:rFonts w:ascii="Cambria" w:hAnsi="Cambria" w:eastAsia="Cambria"/>
          <w:b w:val="0"/>
          <w:i/>
          <w:color w:val="C00000"/>
          <w:sz w:val="19"/>
        </w:rPr>
        <w:t>Use the organization's licensed copy of the applicable standards when confirming detailed requirements. This toolkit paraphrases requirements and does not reproduce ISO standard text.</w:t>
      </w:r>
    </w:p>
    <w:p>
      <w:pPr>
        <w:pStyle w:val="Heading1"/>
      </w:pPr>
      <w:r>
        <w:t>Revision and Approval</w:t>
      </w:r>
    </w:p>
    <w:tbl>
      <w:tblPr>
        <w:tblW w:type="auto" w:w="0"/>
        <w:jc w:val="center"/>
        <w:tblLayout w:type="fixed"/>
        <w:tblLook w:val="04A0"/>
      </w:tblPr>
      <w:tblGrid>
        <w:gridCol w:w="3118"/>
        <w:gridCol w:w="3118"/>
        <w:gridCol w:w="3118"/>
      </w:tblGrid>
      <w:tr>
        <w:trPr>
          <w:tblHeader w:val="true"/>
        </w:trPr>
        <w:tc>
          <w:tcPr>
            <w:tcW w:type="dxa" w:w="136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Version</w:t>
            </w:r>
          </w:p>
        </w:tc>
        <w:tc>
          <w:tcPr>
            <w:tcW w:type="dxa" w:w="19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Date</w:t>
            </w:r>
          </w:p>
        </w:tc>
        <w:tc>
          <w:tcPr>
            <w:tcW w:type="dxa" w:w="6236"/>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Description</w:t>
            </w:r>
          </w:p>
        </w:tc>
      </w:tr>
      <w:tr>
        <w:tc>
          <w:tcPr>
            <w:tcW w:type="dxa" w:w="13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1.0</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2026-09-19</w:t>
            </w:r>
          </w:p>
        </w:tc>
        <w:tc>
          <w:tcPr>
            <w:tcW w:type="dxa" w:w="623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Initial issue</w:t>
            </w:r>
          </w:p>
        </w:tc>
      </w:tr>
    </w:tbl>
    <w:p/>
    <w:tbl>
      <w:tblPr>
        <w:tblW w:type="auto" w:w="0"/>
        <w:jc w:val="center"/>
        <w:tblLayout w:type="fixed"/>
        <w:tblLook w:val="04A0"/>
      </w:tblPr>
      <w:tblGrid>
        <w:gridCol w:w="2339"/>
        <w:gridCol w:w="2339"/>
        <w:gridCol w:w="2339"/>
        <w:gridCol w:w="2339"/>
      </w:tblGrid>
      <w:tr>
        <w:trPr>
          <w:tblHeader w:val="true"/>
        </w:trPr>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Prepared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Reviewed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Approved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Date</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[PREPARED BY]</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[REVIEWED BY]</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[APPROVER]</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[DATE]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w:p>
    <w:pPr>
      <w:pStyle w:val="Footer"/>
      <w:jc w:val="center"/>
    </w:pPr>
    <w:r>
      <w:rPr>
        <w:rFonts w:ascii="Cambria" w:hAnsi="Cambria" w:eastAsia="Cambria"/>
        <w:b w:val="0"/>
        <w:i w:val="0"/>
        <w:color w:val="7F7F7F"/>
        <w:sz w:val="16"/>
      </w:rPr>
      <w:t xml:space="preserve">ISO TOOLKITS DOCUMENT | www.iso-toolkits.org | info@iso-toolkits.org | Page </w:t>
    </w:r>
    <w:r>
      <w:rPr>
        <w:rFonts w:ascii="Cambria" w:hAnsi="Cambria" w:eastAsia="Cambria"/>
        <w:b w:val="0"/>
        <w:i w:val="0"/>
        <w:color w:val="7F7F7F"/>
        <w:sz w:val="16"/>
      </w:rPr>
      <w:fldChar w:fldCharType="begin"/>
      <w:instrText xml:space="preserve">PAGE</w:instrText>
      <w:fldChar w:fldCharType="end"/>
    </w:r>
    <w:r>
      <w:rPr>
        <w:rFonts w:ascii="Cambria" w:hAnsi="Cambria" w:eastAsia="Cambria"/>
        <w:b w:val="0"/>
        <w:i w:val="0"/>
        <w:color w:val="7F7F7F"/>
        <w:sz w:val="16"/>
      </w:rPr>
      <w:t xml:space="preserve"> of </w:t>
    </w:r>
    <w:r>
      <w:rPr>
        <w:rFonts w:ascii="Cambria" w:hAnsi="Cambria" w:eastAsia="Cambria"/>
        <w:b w:val="0"/>
        <w:i w:val="0"/>
        <w:color w:val="7F7F7F"/>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w:tbl>
    <w:tblPr>
      <w:tblW w:type="auto" w:w="0"/>
      <w:jc w:val="center"/>
      <w:tblLayout w:type="fixed"/>
      <w:tblLook w:val="04A0"/>
    </w:tblPr>
    <w:tblGrid>
      <w:gridCol w:w="3118"/>
      <w:gridCol w:w="3118"/>
      <w:gridCol w:w="3118"/>
    </w:tblGrid>
    <w:tr>
      <w:tc>
        <w:tcPr>
          <w:tcW w:type="dxa" w:w="1928"/>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left"/>
          </w:pPr>
          <w:r>
            <w:rPr>
              <w:rFonts w:ascii="Cambria" w:hAnsi="Cambria" w:eastAsia="Cambria"/>
              <w:b w:val="0"/>
              <w:i w:val="0"/>
              <w:color w:val="7F7F7F"/>
              <w:sz w:val="16"/>
            </w:rPr>
            <w:t>ORGANIZATION LOGO</w:t>
          </w:r>
        </w:p>
      </w:tc>
      <w:tc>
        <w:tcPr>
          <w:tcW w:type="dxa" w:w="4989"/>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center"/>
          </w:pPr>
          <w:r>
            <w:rPr>
              <w:rFonts w:ascii="Cambria" w:hAnsi="Cambria" w:eastAsia="Cambria"/>
              <w:b w:val="0"/>
              <w:i w:val="0"/>
              <w:color w:val="1F4E79"/>
              <w:sz w:val="16"/>
            </w:rPr>
            <w:t>[ORGANIZATION NAME]</w:t>
          </w:r>
          <w:r>
            <w:rPr>
              <w:rFonts w:ascii="Cambria" w:hAnsi="Cambria" w:eastAsia="Cambria"/>
              <w:b/>
              <w:i w:val="0"/>
              <w:color w:val="1F4E79"/>
              <w:sz w:val="16"/>
            </w:rPr>
            <w:br/>
            <w:t>Documented Information Guidance</w:t>
          </w:r>
        </w:p>
      </w:tc>
      <w:tc>
        <w:tcPr>
          <w:tcW w:type="dxa" w:w="2438"/>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right"/>
          </w:pPr>
          <w:r>
            <w:rPr>
              <w:rFonts w:ascii="Cambria" w:hAnsi="Cambria" w:eastAsia="Cambria"/>
              <w:b w:val="0"/>
              <w:i w:val="0"/>
              <w:color w:val="7F7F7F"/>
              <w:sz w:val="16"/>
            </w:rPr>
            <w:t>EnMS-MAN-002</w:t>
          </w:r>
          <w:r>
            <w:rPr>
              <w:rFonts w:ascii="Cambria" w:hAnsi="Cambria" w:eastAsia="Cambria"/>
              <w:b w:val="0"/>
              <w:i w:val="0"/>
              <w:color w:val="7F7F7F"/>
              <w:sz w:val="16"/>
            </w:rPr>
            <w:br/>
            <w:t>Version 1.0</w:t>
          </w:r>
          <w:r>
            <w:rPr>
              <w:rFonts w:ascii="Cambria" w:hAnsi="Cambria" w:eastAsia="Cambria"/>
              <w:b w:val="0"/>
              <w:i w:val="0"/>
              <w:color w:val="7F7F7F"/>
              <w:sz w:val="16"/>
            </w:rPr>
            <w:br/>
            <w:t>Effective: 2026-09-19</w:t>
          </w:r>
        </w:p>
      </w:tc>
    </w:tr>
  </w:tbl>
</w:hdr>
</file>

<file path=word/numbering.xml><?xml version="1.0" encoding="utf-8"?>
<w:numbering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left w:val="1"/>
      <w:numFmt w:val="decimal"/>
      <w:lvlText w:val="%1."/>
      <w:lvlJc w:val="left"/>
      <w:pPr>
        <w:tabs>
          <w:tab w:val="num" w:pos="1800"/>
        </w:tabs>
        <w:ind w:left="1800" w:hanging="360"/>
      </w:pPr>
    </w:lvl>
  </w:abstractNum>
  <w:abstractNum w:abstractNumId="1">
    <w:nsid w:val="FFFFFF7D"/>
    <w:multiLevelType w:val="singleLevel"/>
    <w:tmpl w:val="E4089024"/>
    <w:lvl w:ilvl="0">
      <w:left w:val="1"/>
      <w:numFmt w:val="decimal"/>
      <w:lvlText w:val="%1."/>
      <w:lvlJc w:val="left"/>
      <w:pPr>
        <w:tabs>
          <w:tab w:val="num" w:pos="1440"/>
        </w:tabs>
        <w:ind w:left="1440" w:hanging="360"/>
      </w:pPr>
    </w:lvl>
  </w:abstractNum>
  <w:abstractNum w:abstractNumId="2">
    <w:nsid w:val="FFFFFF7E"/>
    <w:multiLevelType w:val="singleLevel"/>
    <w:tmpl w:val="FB12693A"/>
    <w:lvl w:ilvl="0">
      <w:lef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lef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lef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lef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lef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lef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lef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0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40"/>
    </w:pPr>
    <w:rPr>
      <w:rFonts w:ascii="Cambria" w:hAnsi="Cambr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Information Guidance</dc:title>
  <dc:subject>Practical guidance for ISO 50001 documented information and records</dc:subject>
  <dc:creator>ISO Toolkits</dc:creator>
  <cp:keywords>ISO 50001, EnMS, energy management, ISO Toolkits</cp:keywords>
  <dc:description>Professional ISO 50001 implementation toolkit document.</dc:description>
  <cp:lastModifiedBy/>
  <cp:revision>1</cp:revision>
  <dcterms:created xsi:type="dcterms:W3CDTF">2013-12-23T23:15:00Z</dcterms:created>
  <dcterms:modified xsi:type="dcterms:W3CDTF">2013-12-23T23:15:00Z</dcterms:modified>
  <cp:category/>
</cp:coreProperties>
</file>