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PRIVACY POLICY, OBJECTIVES &amp; INDICATORS GUIDANCE</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Privacy / PIMS Manager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Top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A privacy policy should express durable management commitments. Do not copy legal wording or promise absolute outcomes that the organization cannot demonstrate. Objectives and thresholds must be approved based on scope, risk, obligations and operating context.</w:t>
            </w:r>
          </w:p>
        </w:tc>
      </w:tr>
    </w:tbl>
    <w:p>
      <w:pPr>
        <w:spacing w:after="20"/>
      </w:pPr>
    </w:p>
    <w:p>
      <w:pPr>
        <w:pStyle w:val="Heading1"/>
        <w:keepNext/>
        <w:spacing w:before="120" w:after="60" w:line="252" w:lineRule="auto"/>
      </w:pPr>
      <w:r>
        <w:rPr>
          <w:rFonts w:ascii="Cambria" w:hAnsi="Cambria" w:eastAsia="Cambria"/>
          <w:b/>
          <w:color w:val="1F4E79"/>
          <w:sz w:val="24"/>
        </w:rPr>
        <w:t>1. Purpose</w:t>
      </w:r>
    </w:p>
    <w:p>
      <w:pPr>
        <w:spacing w:before="0" w:after="80" w:line="252" w:lineRule="auto"/>
      </w:pPr>
      <w:r>
        <w:rPr>
          <w:rFonts w:ascii="Cambria" w:hAnsi="Cambria" w:eastAsia="Cambria"/>
          <w:i w:val="0"/>
          <w:sz w:val="20"/>
        </w:rPr>
        <w:t>Provide practical guidance for drafting an enterprise privacy/PIMS policy, converting policy commitments into measurable objectives and selecting indicators that support management decisions under ISO/IEC 27701:2025.</w:t>
      </w:r>
    </w:p>
    <w:p>
      <w:pPr>
        <w:pStyle w:val="Heading1"/>
        <w:keepNext/>
        <w:spacing w:before="120" w:after="60" w:line="252" w:lineRule="auto"/>
      </w:pPr>
      <w:r>
        <w:rPr>
          <w:rFonts w:ascii="Cambria" w:hAnsi="Cambria" w:eastAsia="Cambria"/>
          <w:b/>
          <w:color w:val="1F4E79"/>
          <w:sz w:val="24"/>
        </w:rPr>
        <w:t>2. Recommended Privacy Policy Structure</w:t>
      </w:r>
    </w:p>
    <w:tbl>
      <w:tblPr>
        <w:tblW w:type="auto" w:w="0"/>
        <w:jc w:val="center"/>
        <w:tblLayout w:type="fixed"/>
        <w:tblLook w:val="04A0"/>
      </w:tblPr>
      <w:tblGrid>
        <w:gridCol w:w="4677"/>
        <w:gridCol w:w="4677"/>
      </w:tblGrid>
      <w:tr>
        <w:trPr>
          <w:tblHeader w:val="true"/>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Section</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What to Include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Purpose and Direction</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Why privacy matters to the organization and how the PIMS supports strategy, trust and responsible PII processing.</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Scope</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Entities, services, locations and processing covered or a reference to the controlled PIMS scope.</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Core Commitments</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Meet applicable privacy obligations; manage privacy risk; protect PII; support transparency and requests; embed privacy by design; improve continually.</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Roles and Accountability</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Top-management accountability, PIMS ownership, process-owner responsibilities and workforce expectations.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Objectives Framework</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Commitment to establish, monitor and periodically review measurable privacy objectives.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Reporting and Escalation</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Expectation to report privacy incidents, control failures and concerns through approved channels.</w:t>
            </w:r>
          </w:p>
        </w:tc>
      </w:tr>
      <w:tr>
        <w:trPr>
          <w:cantSplit/>
        </w:trPr>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Review and Approval</w:t>
            </w:r>
          </w:p>
        </w:tc>
        <w:tc>
          <w:tcPr>
            <w:tcW w:type="dxa" w:w="686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Owner, approver and review triggers.</w:t>
            </w:r>
          </w:p>
        </w:tc>
      </w:tr>
    </w:tbl>
    <w:p>
      <w:pPr>
        <w:pStyle w:val="Heading1"/>
        <w:keepNext/>
        <w:spacing w:before="120" w:after="60" w:line="252" w:lineRule="auto"/>
      </w:pPr>
      <w:r>
        <w:rPr>
          <w:rFonts w:ascii="Cambria" w:hAnsi="Cambria" w:eastAsia="Cambria"/>
          <w:b/>
          <w:color w:val="1F4E79"/>
          <w:sz w:val="24"/>
        </w:rPr>
        <w:t>3. Policy Commitments — Practical Wording Themes</w:t>
      </w:r>
    </w:p>
    <w:p>
      <w:pPr>
        <w:pStyle w:val="ListBullet"/>
        <w:spacing w:before="0" w:after="50" w:line="252" w:lineRule="auto"/>
      </w:pPr>
      <w:r>
        <w:rPr>
          <w:rFonts w:ascii="Cambria" w:hAnsi="Cambria" w:eastAsia="Cambria"/>
          <w:sz w:val="20"/>
        </w:rPr>
        <w:t>Process PII for defined, approved and transparent purposes with appropriate accountability.</w:t>
      </w:r>
    </w:p>
    <w:p>
      <w:pPr>
        <w:pStyle w:val="ListBullet"/>
        <w:spacing w:before="0" w:after="50" w:line="252" w:lineRule="auto"/>
      </w:pPr>
      <w:r>
        <w:rPr>
          <w:rFonts w:ascii="Cambria" w:hAnsi="Cambria" w:eastAsia="Cambria"/>
          <w:sz w:val="20"/>
        </w:rPr>
        <w:t>Apply privacy risk management and proportionate safeguards through the PII lifecycle.</w:t>
      </w:r>
    </w:p>
    <w:p>
      <w:pPr>
        <w:pStyle w:val="ListBullet"/>
        <w:spacing w:before="0" w:after="50" w:line="252" w:lineRule="auto"/>
      </w:pPr>
      <w:r>
        <w:rPr>
          <w:rFonts w:ascii="Cambria" w:hAnsi="Cambria" w:eastAsia="Cambria"/>
          <w:sz w:val="20"/>
        </w:rPr>
        <w:t>Integrate privacy requirements into projects, changes, technology, procurement and supplier relationships.</w:t>
      </w:r>
    </w:p>
    <w:p>
      <w:pPr>
        <w:pStyle w:val="ListBullet"/>
        <w:spacing w:before="0" w:after="50" w:line="252" w:lineRule="auto"/>
      </w:pPr>
      <w:r>
        <w:rPr>
          <w:rFonts w:ascii="Cambria" w:hAnsi="Cambria" w:eastAsia="Cambria"/>
          <w:sz w:val="20"/>
        </w:rPr>
        <w:t>Support applicable requests and communications to individuals/PII principals through controlled processes.</w:t>
      </w:r>
    </w:p>
    <w:p>
      <w:pPr>
        <w:pStyle w:val="ListBullet"/>
        <w:spacing w:before="0" w:after="50" w:line="252" w:lineRule="auto"/>
      </w:pPr>
      <w:r>
        <w:rPr>
          <w:rFonts w:ascii="Cambria" w:hAnsi="Cambria" w:eastAsia="Cambria"/>
          <w:sz w:val="20"/>
        </w:rPr>
        <w:t>Protect PII from unauthorized access, use, disclosure, alteration, loss or inappropriate retention using risk-appropriate controls.</w:t>
      </w:r>
    </w:p>
    <w:p>
      <w:pPr>
        <w:pStyle w:val="ListBullet"/>
        <w:spacing w:before="0" w:after="50" w:line="252" w:lineRule="auto"/>
      </w:pPr>
      <w:r>
        <w:rPr>
          <w:rFonts w:ascii="Cambria" w:hAnsi="Cambria" w:eastAsia="Cambria"/>
          <w:sz w:val="20"/>
        </w:rPr>
        <w:t>Maintain competent personnel, reliable evidence, internal assurance and continual improvement of the PIMS.</w:t>
      </w:r>
    </w:p>
    <w:p>
      <w:pPr>
        <w:pStyle w:val="Heading1"/>
        <w:keepNext/>
        <w:spacing w:before="120" w:after="60" w:line="252" w:lineRule="auto"/>
      </w:pPr>
      <w:r>
        <w:rPr>
          <w:rFonts w:ascii="Cambria" w:hAnsi="Cambria" w:eastAsia="Cambria"/>
          <w:b/>
          <w:color w:val="1F4E79"/>
          <w:sz w:val="24"/>
        </w:rPr>
        <w:t>4. Objective Design Method</w:t>
      </w:r>
    </w:p>
    <w:tbl>
      <w:tblPr>
        <w:tblW w:type="auto" w:w="0"/>
        <w:jc w:val="center"/>
        <w:tblLayout w:type="fixed"/>
        <w:tblLook w:val="04A0"/>
      </w:tblPr>
      <w:tblGrid>
        <w:gridCol w:w="4677"/>
        <w:gridCol w:w="4677"/>
      </w:tblGrid>
      <w:tr>
        <w:trPr>
          <w:tblHeader w:val="true"/>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Step</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Guidance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1. Select an outcome</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Choose a material privacy outcome linked to policy, risk, obligations, incidents, requests, suppliers or improvement.</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2. Define measurement</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Specify numerator/denominator, scope, source system, frequency and data-quality controls where quantitative.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3. Assign ownership</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One accountable owner is responsible for monitoring and action.</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4. Set target / evaluation rule</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Use an approved target, tolerance, milestone or qualitative success criterion appropriate to the risk.</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5. Define action trigger</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State what happens when performance is outside tolerance or evidence is incomplete.</w:t>
            </w:r>
          </w:p>
        </w:tc>
      </w:tr>
      <w:tr>
        <w:trPr>
          <w:cantSplit/>
        </w:trPr>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6. Review relevance</w:t>
            </w:r>
          </w:p>
        </w:tc>
        <w:tc>
          <w:tcPr>
            <w:tcW w:type="dxa" w:w="708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Retire or change objectives when risk, processing, obligations or strategy changes.</w:t>
            </w:r>
          </w:p>
        </w:tc>
      </w:tr>
    </w:tbl>
    <w:p>
      <w:pPr>
        <w:pStyle w:val="Heading1"/>
        <w:keepNext/>
        <w:spacing w:before="120" w:after="60" w:line="252" w:lineRule="auto"/>
      </w:pPr>
      <w:r>
        <w:rPr>
          <w:rFonts w:ascii="Cambria" w:hAnsi="Cambria" w:eastAsia="Cambria"/>
          <w:b/>
          <w:color w:val="1F4E79"/>
          <w:sz w:val="24"/>
        </w:rPr>
        <w:t>5. Indicator Catalogue</w:t>
      </w:r>
    </w:p>
    <w:tbl>
      <w:tblPr>
        <w:tblW w:type="auto" w:w="0"/>
        <w:jc w:val="center"/>
        <w:tblLayout w:type="fixed"/>
        <w:tblLook w:val="04A0"/>
      </w:tblPr>
      <w:tblGrid>
        <w:gridCol w:w="3118"/>
        <w:gridCol w:w="3118"/>
        <w:gridCol w:w="3118"/>
      </w:tblGrid>
      <w:tr>
        <w:trPr>
          <w:tblHeader w:val="true"/>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Indicator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Definition / Use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Typical Owner</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Processing inventory review completion</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in-scope material processing records reviewed/attested within approved cycle.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PIMS Manager / Process Owners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High privacy-risk actions overdue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Count of overdue high-risk privacy treatments.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Risk Owner</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impact screening coverage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in-scope new/material-change initiatives screened before release.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PMO / Privacy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PIA / DPIA action closure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approved impact-assessment actions closed by due date.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Project / Process Owner</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Request case timeliness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applicable privacy requests completed within verified target/obligation.</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Operations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Request rework / quality exceptions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Count or rate of cases requiring material rework due to process/control errors.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Operations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incidents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Trend of confirmed/suspected privacy incidents by cause, severity and process.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Security / Privacy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Notification decision timeliness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Time from incident awareness to documented notification decision, measured against verified requirements.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 Legal</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Supplier privacy review completion</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in-scope processors/suppliers reviewed per approved risk cycle.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Procurement / Privacy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Contractual privacy gaps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Open material privacy-contract gaps for critical processors/suppliers.</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Legal / Procurement</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Access review completion</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planned privacy-relevant access reviews completed and exceptions resolved.</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IT / Data Owners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Retention exceptions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Open data-retention deviations without approved rationale/treatment.</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Records / Data Owners</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Role-based privacy competence</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targeted roles meeting approved privacy competence / training criteria.</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HR / Privacy</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Audit action aging</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Open privacy/PIMS audit actions by risk and aging.</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PIMS Manager</w:t>
            </w:r>
          </w:p>
        </w:tc>
      </w:tr>
      <w:tr>
        <w:trPr>
          <w:cantSplit/>
        </w:trPr>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Management review actions</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 of PIMS management-review actions closed by due date.</w:t>
            </w:r>
          </w:p>
        </w:tc>
        <w:tc>
          <w:tcPr>
            <w:tcW w:type="dxa" w:w="187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PIMS Manager</w:t>
            </w:r>
          </w:p>
        </w:tc>
      </w:tr>
    </w:tbl>
    <w:p>
      <w:pPr>
        <w:pStyle w:val="Heading1"/>
        <w:keepNext/>
        <w:spacing w:before="120" w:after="60" w:line="252" w:lineRule="auto"/>
      </w:pPr>
      <w:r>
        <w:rPr>
          <w:rFonts w:ascii="Cambria" w:hAnsi="Cambria" w:eastAsia="Cambria"/>
          <w:b/>
          <w:color w:val="1F4E79"/>
          <w:sz w:val="24"/>
        </w:rPr>
        <w:t>6. Illustrative Objectives</w:t>
      </w:r>
    </w:p>
    <w:tbl>
      <w:tblPr>
        <w:tblW w:type="auto" w:w="0"/>
        <w:jc w:val="center"/>
        <w:tblLayout w:type="fixed"/>
        <w:tblLook w:val="04A0"/>
      </w:tblPr>
      <w:tblGrid>
        <w:gridCol w:w="1871"/>
        <w:gridCol w:w="1871"/>
        <w:gridCol w:w="1871"/>
        <w:gridCol w:w="1871"/>
        <w:gridCol w:w="1871"/>
      </w:tblGrid>
      <w:tr>
        <w:trPr>
          <w:tblHeader w:val="true"/>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Objective</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Illustrative Indicator / Target</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Review</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completeness of the material PII-processing inventory.</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100% of identified high-risk processing records owner-attested by the approved annual deadline.</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PIMS Manager</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Quarterly progress / annual completion</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Reduce overdue high privacy-risk treatments.</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No unapproved overdue High treatments; exceptions escalated within the approved governance window.</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Risk Lead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Monthly</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Embed privacy screening in material change.</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At least 95% of in-scope new/material-change initiatives screened before production release; misses reviewed for cause.</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PMO + Privacy</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Monthly</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Improve supplier privacy assurance.</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All critical processors have current due-diligence status and no unowned material privacy-contract gap.</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Procurement + Privacy</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Quarterly</w:t>
            </w:r>
          </w:p>
        </w:tc>
      </w:tr>
      <w:tr>
        <w:trPr>
          <w:cantSplit/>
        </w:trPr>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289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Strengthen privacy-request quality.</w:t>
            </w:r>
          </w:p>
        </w:tc>
        <w:tc>
          <w:tcPr>
            <w:tcW w:type="dxa" w:w="3912"/>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Maintain approved quality threshold for sampled request cases with corrective action for recurring failure themes.</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Manager</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Monthly</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Illustrative targets are examples only. Replace them with approved targets based on actual scope, risk, legal/contractual obligations, capacity and baseline performance.</w:t>
            </w:r>
          </w:p>
        </w:tc>
      </w:tr>
    </w:tbl>
    <w:p>
      <w:pPr>
        <w:spacing w:after="20"/>
      </w:pPr>
    </w:p>
    <w:p>
      <w:pPr>
        <w:pStyle w:val="Heading1"/>
        <w:keepNext/>
        <w:spacing w:before="120" w:after="60" w:line="252" w:lineRule="auto"/>
      </w:pPr>
      <w:r>
        <w:rPr>
          <w:rFonts w:ascii="Cambria" w:hAnsi="Cambria" w:eastAsia="Cambria"/>
          <w:b/>
          <w:color w:val="1F4E79"/>
          <w:sz w:val="24"/>
        </w:rPr>
        <w:t>7. Management Reporting</w:t>
      </w:r>
    </w:p>
    <w:p>
      <w:pPr>
        <w:pStyle w:val="ListBullet"/>
        <w:spacing w:before="0" w:after="50" w:line="252" w:lineRule="auto"/>
      </w:pPr>
      <w:r>
        <w:rPr>
          <w:rFonts w:ascii="Cambria" w:hAnsi="Cambria" w:eastAsia="Cambria"/>
          <w:sz w:val="20"/>
        </w:rPr>
        <w:t>Report trends and exceptions, not isolated percentages without context.</w:t>
      </w:r>
    </w:p>
    <w:p>
      <w:pPr>
        <w:pStyle w:val="ListBullet"/>
        <w:spacing w:before="0" w:after="50" w:line="252" w:lineRule="auto"/>
      </w:pPr>
      <w:r>
        <w:rPr>
          <w:rFonts w:ascii="Cambria" w:hAnsi="Cambria" w:eastAsia="Cambria"/>
          <w:sz w:val="20"/>
        </w:rPr>
        <w:t>Show scope, data source, period and definition for each KPI.</w:t>
      </w:r>
    </w:p>
    <w:p>
      <w:pPr>
        <w:pStyle w:val="ListBullet"/>
        <w:spacing w:before="0" w:after="50" w:line="252" w:lineRule="auto"/>
      </w:pPr>
      <w:r>
        <w:rPr>
          <w:rFonts w:ascii="Cambria" w:hAnsi="Cambria" w:eastAsia="Cambria"/>
          <w:sz w:val="20"/>
        </w:rPr>
        <w:t>Separate Actual Data from Illustrative Data in templates and dashboards.</w:t>
      </w:r>
    </w:p>
    <w:p>
      <w:pPr>
        <w:pStyle w:val="ListBullet"/>
        <w:spacing w:before="0" w:after="50" w:line="252" w:lineRule="auto"/>
      </w:pPr>
      <w:r>
        <w:rPr>
          <w:rFonts w:ascii="Cambria" w:hAnsi="Cambria" w:eastAsia="Cambria"/>
          <w:sz w:val="20"/>
        </w:rPr>
        <w:t>Escalate material privacy-risk or obligation failures promptly rather than waiting for routine review.</w:t>
      </w:r>
    </w:p>
    <w:p>
      <w:pPr>
        <w:pStyle w:val="ListBullet"/>
        <w:spacing w:before="0" w:after="50" w:line="252" w:lineRule="auto"/>
      </w:pPr>
      <w:r>
        <w:rPr>
          <w:rFonts w:ascii="Cambria" w:hAnsi="Cambria" w:eastAsia="Cambria"/>
          <w:sz w:val="20"/>
        </w:rPr>
        <w:t>Document management decisions, resources and corrective actions resulting from indicator review.</w:t>
      </w: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standalone PIMS management system standard.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https://www.iso.org/standard/27701.html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where the PIMS is integrated with an ISMS.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https://www.iso.org/standard/27001.html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documentation</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privacy obligations, PII processing inventory, privacy notices, contracts, risk assessments, procedures, incidents, requests and monitoring evidence.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Privacy / PIMS Manager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Top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Privacy Policy, Objectives &amp; Indicators Guidance</w:t>
          </w:r>
        </w:p>
      </w:tc>
      <w:tc>
        <w:tcPr>
          <w:tcW w:type="dxa" w:w="2324"/>
          <w:tcMar>
            <w:top w:w="20" w:type="dxa"/>
            <w:left w:w="40" w:type="dxa"/>
            <w:bottom w:w="20" w:type="dxa"/>
            <w:right w:w="40" w:type="dxa"/>
          </w:tcMar>
        </w:tcPr>
        <w:p>
          <w:pPr>
            <w:jc w:val="right"/>
          </w:pPr>
          <w:r>
            <w:rPr>
              <w:rFonts w:ascii="Cambria" w:hAnsi="Cambria" w:eastAsia="Cambria"/>
              <w:b/>
              <w:color w:val="666666"/>
              <w:sz w:val="16"/>
            </w:rPr>
            <w:t>PIMS-GOV-002</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