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440" w:after="200"/>
        <w:jc w:val="center"/>
      </w:pPr>
      <w:r>
        <w:rPr>
          <w:rFonts w:ascii="Cambria" w:hAnsi="Cambria" w:eastAsia="Cambria"/>
          <w:b/>
          <w:color w:val="1F4E79"/>
          <w:sz w:val="44"/>
        </w:rPr>
        <w:t>PRIVACY MANAGEMENT SYSTEM GUIDANCE</w:t>
      </w:r>
    </w:p>
    <w:p>
      <w:pPr>
        <w:spacing w:after="320"/>
        <w:jc w:val="center"/>
      </w:pPr>
      <w:r>
        <w:rPr>
          <w:rFonts w:ascii="Cambria" w:hAnsi="Cambria" w:eastAsia="Cambria"/>
          <w:b/>
          <w:color w:val="000000"/>
          <w:sz w:val="24"/>
        </w:rPr>
        <w:t>ISO/IEC 27701:2025</w:t>
      </w:r>
    </w:p>
    <w:p>
      <w:pPr>
        <w:spacing w:after="360"/>
        <w:jc w:val="center"/>
      </w:pPr>
      <w:r>
        <w:rPr>
          <w:rFonts w:ascii="Cambria" w:hAnsi="Cambria" w:eastAsia="Cambria"/>
          <w:i/>
          <w:color w:val="666666"/>
          <w:sz w:val="22"/>
        </w:rPr>
        <w:t>Practical implementation and operating guidance for an enterprise Privacy Information Management System (PIMS)</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Privacy / PIMS Manager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Top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ISO/IEC 27701:2025 is the current published Edition 2 and is a standalone PIMS management system standard. The organization may integrate it with ISO/IEC 27001 or other management systems where useful. Privacy laws and regulator requirements remain jurisdiction-specific and must be verified separately.</w:t>
            </w:r>
          </w:p>
        </w:tc>
      </w:tr>
    </w:tbl>
    <w:p>
      <w:pPr>
        <w:spacing w:after="20"/>
      </w:pPr>
    </w:p>
    <w:p>
      <w:pPr>
        <w:pStyle w:val="Heading1"/>
        <w:keepNext/>
        <w:spacing w:before="120" w:after="60" w:line="252" w:lineRule="auto"/>
      </w:pPr>
      <w:r>
        <w:rPr>
          <w:rFonts w:ascii="Cambria" w:hAnsi="Cambria" w:eastAsia="Cambria"/>
          <w:b/>
          <w:color w:val="1F4E79"/>
          <w:sz w:val="24"/>
        </w:rPr>
        <w:t>1. Purpose and Intended Use</w:t>
      </w:r>
    </w:p>
    <w:p>
      <w:pPr>
        <w:spacing w:before="0" w:after="80" w:line="252" w:lineRule="auto"/>
      </w:pPr>
      <w:r>
        <w:rPr>
          <w:rFonts w:ascii="Cambria" w:hAnsi="Cambria" w:eastAsia="Cambria"/>
          <w:i w:val="0"/>
          <w:sz w:val="20"/>
        </w:rPr>
        <w:t>Provide practical guidance for establishing, operating, monitoring and improving a PIMS so that privacy governance is integrated with actual PII processing, risk decisions, business change and evidence. This guidance is not a substitute for the licensed ISO standard or legal advice.</w:t>
      </w:r>
    </w:p>
    <w:p>
      <w:pPr>
        <w:pStyle w:val="Heading1"/>
        <w:keepNext/>
        <w:spacing w:before="120" w:after="60" w:line="252" w:lineRule="auto"/>
      </w:pPr>
      <w:r>
        <w:rPr>
          <w:rFonts w:ascii="Cambria" w:hAnsi="Cambria" w:eastAsia="Cambria"/>
          <w:b/>
          <w:color w:val="1F4E79"/>
          <w:sz w:val="24"/>
        </w:rPr>
        <w:t>2. Establish the PIMS Foundation</w:t>
      </w:r>
    </w:p>
    <w:tbl>
      <w:tblPr>
        <w:tblW w:type="auto" w:w="0"/>
        <w:jc w:val="center"/>
        <w:tblLayout w:type="fixed"/>
        <w:tblLook w:val="04A0"/>
      </w:tblPr>
      <w:tblGrid>
        <w:gridCol w:w="4677"/>
        <w:gridCol w:w="4677"/>
      </w:tblGrid>
      <w:tr>
        <w:trPr>
          <w:tblHeader w:val="true"/>
        </w:trPr>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Foundation Element</w:t>
            </w:r>
          </w:p>
        </w:tc>
        <w:tc>
          <w:tcPr>
            <w:tcW w:type="dxa" w:w="657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Implementation Guidance</w:t>
            </w:r>
          </w:p>
        </w:tc>
      </w:tr>
      <w:tr>
        <w:trPr>
          <w:cantSplit/>
        </w:trPr>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Context and scope</w:t>
            </w:r>
          </w:p>
        </w:tc>
        <w:tc>
          <w:tcPr>
            <w:tcW w:type="dxa" w:w="657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Define entities, services, locations, PII processing boundaries, relevant interested parties and material external/internal issues.</w:t>
            </w:r>
          </w:p>
        </w:tc>
      </w:tr>
      <w:tr>
        <w:trPr>
          <w:cantSplit/>
        </w:trPr>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Privacy roles</w:t>
            </w:r>
          </w:p>
        </w:tc>
        <w:tc>
          <w:tcPr>
            <w:tcW w:type="dxa" w:w="657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Determine where the organization acts as PII controller, processor or other relevant role and document responsibilities.</w:t>
            </w:r>
          </w:p>
        </w:tc>
      </w:tr>
      <w:tr>
        <w:trPr>
          <w:cantSplit/>
        </w:trPr>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Governance</w:t>
            </w:r>
          </w:p>
        </w:tc>
        <w:tc>
          <w:tcPr>
            <w:tcW w:type="dxa" w:w="657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Assign top-management accountability, PIMS ownership, processing owners and escalation paths.</w:t>
            </w:r>
          </w:p>
        </w:tc>
      </w:tr>
      <w:tr>
        <w:trPr>
          <w:cantSplit/>
        </w:trPr>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Policy and objectives</w:t>
            </w:r>
          </w:p>
        </w:tc>
        <w:tc>
          <w:tcPr>
            <w:tcW w:type="dxa" w:w="657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Approve durable privacy commitments and measurable objectives/indicators.</w:t>
            </w:r>
          </w:p>
        </w:tc>
      </w:tr>
      <w:tr>
        <w:trPr>
          <w:cantSplit/>
        </w:trPr>
        <w:tc>
          <w:tcPr>
            <w:tcW w:type="dxa" w:w="277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Document architecture</w:t>
            </w:r>
          </w:p>
        </w:tc>
        <w:tc>
          <w:tcPr>
            <w:tcW w:type="dxa" w:w="657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Define controlled policies, procedures, inventories, risk/impact records, audit, review and evidence repositories.</w:t>
            </w:r>
          </w:p>
        </w:tc>
      </w:tr>
    </w:tbl>
    <w:p>
      <w:pPr>
        <w:pStyle w:val="Heading1"/>
        <w:keepNext/>
        <w:spacing w:before="120" w:after="60" w:line="252" w:lineRule="auto"/>
      </w:pPr>
      <w:r>
        <w:rPr>
          <w:rFonts w:ascii="Cambria" w:hAnsi="Cambria" w:eastAsia="Cambria"/>
          <w:b/>
          <w:color w:val="1F4E79"/>
          <w:sz w:val="24"/>
        </w:rPr>
        <w:t>3. Build and Maintain the PII Processing Inventory</w:t>
      </w:r>
    </w:p>
    <w:p>
      <w:pPr>
        <w:spacing w:before="0" w:after="80" w:line="252" w:lineRule="auto"/>
      </w:pPr>
      <w:r>
        <w:rPr>
          <w:rFonts w:ascii="Cambria" w:hAnsi="Cambria" w:eastAsia="Cambria"/>
          <w:i w:val="0"/>
          <w:sz w:val="20"/>
        </w:rPr>
        <w:t>The processing inventory should be useful for decisions, not merely a compliance list. Capture enough information to understand purposes, PII categories, PII principals/data subjects, systems, locations, recipients, processing roles, key suppliers, retention expectations and accountable owners for material processing activities.</w:t>
      </w:r>
    </w:p>
    <w:tbl>
      <w:tblPr>
        <w:tblW w:type="auto" w:w="0"/>
        <w:jc w:val="center"/>
        <w:tblLayout w:type="fixed"/>
        <w:tblLook w:val="04A0"/>
      </w:tblPr>
      <w:tblGrid>
        <w:gridCol w:w="4677"/>
        <w:gridCol w:w="4677"/>
      </w:tblGrid>
      <w:tr>
        <w:trPr>
          <w:tblHeader w:val="true"/>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Inventory Question</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Practical Use</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Why is the PII processed?</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Supports purpose limitation, transparency and change assessment.</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Whose PII and what categories?</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Supports risk, request handling, incident assessment and minimization.</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Where is it processed/stored?</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Supports access, location, transfer, resilience and supplier decisions.</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Who receives or processes it?</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Supports controller/processor accountability and supplier oversight.</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How long is it needed?</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Supports approved retention/disposal decisions.</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Who owns the processing?</w:t>
            </w:r>
          </w:p>
        </w:tc>
        <w:tc>
          <w:tcPr>
            <w:tcW w:type="dxa" w:w="65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Establishes accountability for accuracy and change.</w:t>
            </w:r>
          </w:p>
        </w:tc>
      </w:tr>
    </w:tbl>
    <w:p>
      <w:pPr>
        <w:pStyle w:val="Heading1"/>
        <w:keepNext/>
        <w:spacing w:before="120" w:after="60" w:line="252" w:lineRule="auto"/>
      </w:pPr>
      <w:r>
        <w:rPr>
          <w:rFonts w:ascii="Cambria" w:hAnsi="Cambria" w:eastAsia="Cambria"/>
          <w:b/>
          <w:color w:val="1F4E79"/>
          <w:sz w:val="24"/>
        </w:rPr>
        <w:t>4. Privacy Risk and Impact Assessment</w:t>
      </w:r>
    </w:p>
    <w:p>
      <w:pPr>
        <w:pStyle w:val="ListBullet"/>
        <w:spacing w:before="0" w:after="50" w:line="252" w:lineRule="auto"/>
      </w:pPr>
      <w:r>
        <w:rPr>
          <w:rFonts w:ascii="Cambria" w:hAnsi="Cambria" w:eastAsia="Cambria"/>
          <w:sz w:val="20"/>
        </w:rPr>
        <w:t>Use a defined privacy-risk method that considers potential impact to individuals/PII principals and relevant organizational consequences.</w:t>
      </w:r>
    </w:p>
    <w:p>
      <w:pPr>
        <w:pStyle w:val="ListBullet"/>
        <w:spacing w:before="0" w:after="50" w:line="252" w:lineRule="auto"/>
      </w:pPr>
      <w:r>
        <w:rPr>
          <w:rFonts w:ascii="Cambria" w:hAnsi="Cambria" w:eastAsia="Cambria"/>
          <w:sz w:val="20"/>
        </w:rPr>
        <w:t>Screen new and materially changed processing early enough for privacy requirements to influence design.</w:t>
      </w:r>
    </w:p>
    <w:p>
      <w:pPr>
        <w:pStyle w:val="ListBullet"/>
        <w:spacing w:before="0" w:after="50" w:line="252" w:lineRule="auto"/>
      </w:pPr>
      <w:r>
        <w:rPr>
          <w:rFonts w:ascii="Cambria" w:hAnsi="Cambria" w:eastAsia="Cambria"/>
          <w:sz w:val="20"/>
        </w:rPr>
        <w:t>Use proportionate privacy impact assessment where approved criteria or verified obligations require deeper analysis.</w:t>
      </w:r>
    </w:p>
    <w:p>
      <w:pPr>
        <w:pStyle w:val="ListBullet"/>
        <w:spacing w:before="0" w:after="50" w:line="252" w:lineRule="auto"/>
      </w:pPr>
      <w:r>
        <w:rPr>
          <w:rFonts w:ascii="Cambria" w:hAnsi="Cambria" w:eastAsia="Cambria"/>
          <w:sz w:val="20"/>
        </w:rPr>
        <w:t>Track treatments with owner, due date, residual-risk decision and evidence.</w:t>
      </w:r>
    </w:p>
    <w:p>
      <w:pPr>
        <w:pStyle w:val="ListBullet"/>
        <w:spacing w:before="0" w:after="50" w:line="252" w:lineRule="auto"/>
      </w:pPr>
      <w:r>
        <w:rPr>
          <w:rFonts w:ascii="Cambria" w:hAnsi="Cambria" w:eastAsia="Cambria"/>
          <w:sz w:val="20"/>
        </w:rPr>
        <w:t>Reassess risk when purpose, PII categories, scale, technology, recipient, supplier, location or control environment materially changes.</w:t>
      </w:r>
    </w:p>
    <w:p>
      <w:pPr>
        <w:pStyle w:val="Heading1"/>
        <w:keepNext/>
        <w:spacing w:before="120" w:after="60" w:line="252" w:lineRule="auto"/>
      </w:pPr>
      <w:r>
        <w:rPr>
          <w:rFonts w:ascii="Cambria" w:hAnsi="Cambria" w:eastAsia="Cambria"/>
          <w:b/>
          <w:color w:val="1F4E79"/>
          <w:sz w:val="24"/>
        </w:rPr>
        <w:t>5. Privacy by Design and Change Integration</w:t>
      </w:r>
    </w:p>
    <w:tbl>
      <w:tblPr>
        <w:tblW w:type="auto" w:w="0"/>
        <w:jc w:val="center"/>
        <w:tblLayout w:type="fixed"/>
        <w:tblLook w:val="04A0"/>
      </w:tblPr>
      <w:tblGrid>
        <w:gridCol w:w="4677"/>
        <w:gridCol w:w="4677"/>
      </w:tblGrid>
      <w:tr>
        <w:trPr>
          <w:tblHeader w:val="true"/>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Change Point</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Privacy Questions</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Project initiation</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Will the initiative process PII, change purpose, introduce new categories or affect individuals materially?</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Solution design</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Can PII be minimized, separated, de-identified, access-restricted or retained for less time?</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Procurement</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Will a supplier/processor access PII; what instructions, safeguards, incidents, sub-processors and exit controls are required?</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Release approval</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Are notices, inventory, risk/impact assessment, contracts, controls and operating procedures ready?</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Post-release</w:t>
            </w:r>
          </w:p>
        </w:tc>
        <w:tc>
          <w:tcPr>
            <w:tcW w:type="dxa" w:w="69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Are actual processing and outcomes consistent with approved design and assumptions?</w:t>
            </w:r>
          </w:p>
        </w:tc>
      </w:tr>
    </w:tbl>
    <w:p>
      <w:pPr>
        <w:pStyle w:val="Heading1"/>
        <w:keepNext/>
        <w:spacing w:before="120" w:after="60" w:line="252" w:lineRule="auto"/>
      </w:pPr>
      <w:r>
        <w:rPr>
          <w:rFonts w:ascii="Cambria" w:hAnsi="Cambria" w:eastAsia="Cambria"/>
          <w:b/>
          <w:color w:val="1F4E79"/>
          <w:sz w:val="24"/>
        </w:rPr>
        <w:t>6. Operate PII Lifecycle Controls</w:t>
      </w:r>
    </w:p>
    <w:tbl>
      <w:tblPr>
        <w:tblW w:type="auto" w:w="0"/>
        <w:jc w:val="center"/>
        <w:tblLayout w:type="fixed"/>
        <w:tblLook w:val="04A0"/>
      </w:tblPr>
      <w:tblGrid>
        <w:gridCol w:w="4677"/>
        <w:gridCol w:w="4677"/>
      </w:tblGrid>
      <w:tr>
        <w:trPr>
          <w:tblHeader w:val="true"/>
        </w:trPr>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Lifecycle Stage</w:t>
            </w:r>
          </w:p>
        </w:tc>
        <w:tc>
          <w:tcPr>
            <w:tcW w:type="dxa" w:w="674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Operational Guidance</w:t>
            </w:r>
          </w:p>
        </w:tc>
      </w:tr>
      <w:tr>
        <w:trPr>
          <w:cantSplit/>
        </w:trPr>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Collection / acquisition</w:t>
            </w:r>
          </w:p>
        </w:tc>
        <w:tc>
          <w:tcPr>
            <w:tcW w:type="dxa" w:w="674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Use approved purpose and only necessary PII; maintain appropriate transparency and source records.</w:t>
            </w:r>
          </w:p>
        </w:tc>
      </w:tr>
      <w:tr>
        <w:trPr>
          <w:cantSplit/>
        </w:trPr>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Use / access</w:t>
            </w:r>
          </w:p>
        </w:tc>
        <w:tc>
          <w:tcPr>
            <w:tcW w:type="dxa" w:w="674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Restrict use and access to approved purpose, authority and job need; review higher-risk access.</w:t>
            </w:r>
          </w:p>
        </w:tc>
      </w:tr>
      <w:tr>
        <w:trPr>
          <w:cantSplit/>
        </w:trPr>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PII principal requests</w:t>
            </w:r>
          </w:p>
        </w:tc>
        <w:tc>
          <w:tcPr>
            <w:tcW w:type="dxa" w:w="674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Receive, verify, route, decide, respond and retain evidence using applicable verified requirements.</w:t>
            </w:r>
          </w:p>
        </w:tc>
      </w:tr>
      <w:tr>
        <w:trPr>
          <w:cantSplit/>
        </w:trPr>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Sharing / disclosure</w:t>
            </w:r>
          </w:p>
        </w:tc>
        <w:tc>
          <w:tcPr>
            <w:tcW w:type="dxa" w:w="674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Authorize recipients and document purpose, responsibility and appropriate safeguards.</w:t>
            </w:r>
          </w:p>
        </w:tc>
      </w:tr>
      <w:tr>
        <w:trPr>
          <w:cantSplit/>
        </w:trPr>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Supplier / processor use</w:t>
            </w:r>
          </w:p>
        </w:tc>
        <w:tc>
          <w:tcPr>
            <w:tcW w:type="dxa" w:w="674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Maintain instructions, contracts, due diligence, monitoring, incident escalation and offboarding evidence.</w:t>
            </w:r>
          </w:p>
        </w:tc>
      </w:tr>
      <w:tr>
        <w:trPr>
          <w:cantSplit/>
        </w:trPr>
        <w:tc>
          <w:tcPr>
            <w:tcW w:type="dxa" w:w="260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Retention / disposal</w:t>
            </w:r>
          </w:p>
        </w:tc>
        <w:tc>
          <w:tcPr>
            <w:tcW w:type="dxa" w:w="6746"/>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Apply approved criteria, active-hold checks and controlled deletion/disposal.</w:t>
            </w:r>
          </w:p>
        </w:tc>
      </w:tr>
    </w:tbl>
    <w:p>
      <w:pPr>
        <w:pStyle w:val="Heading1"/>
        <w:keepNext/>
        <w:spacing w:before="120" w:after="60" w:line="252" w:lineRule="auto"/>
      </w:pPr>
      <w:r>
        <w:rPr>
          <w:rFonts w:ascii="Cambria" w:hAnsi="Cambria" w:eastAsia="Cambria"/>
          <w:b/>
          <w:color w:val="1F4E79"/>
          <w:sz w:val="24"/>
        </w:rPr>
        <w:t>7. Privacy Incidents and Breaches</w:t>
      </w:r>
    </w:p>
    <w:p>
      <w:pPr>
        <w:spacing w:before="0" w:after="80" w:line="252" w:lineRule="auto"/>
      </w:pPr>
      <w:r>
        <w:rPr>
          <w:rFonts w:ascii="Cambria" w:hAnsi="Cambria" w:eastAsia="Cambria"/>
          <w:i w:val="0"/>
          <w:sz w:val="20"/>
        </w:rPr>
        <w:t>Maintain a process to identify, report, triage, contain, investigate and document suspected privacy incidents. Assess affected PII, individuals, systems, recipients, duration, control failures and potential consequences. Determine notification or communication obligations using verified applicable sources and retain the decision rationale.</w:t>
      </w: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Do not embed a universal breach-notification deadline or regulator rule into the PIMS unless applicability has been verified for the relevant jurisdiction, contract and incident context.</w:t>
            </w:r>
          </w:p>
        </w:tc>
      </w:tr>
    </w:tbl>
    <w:p>
      <w:pPr>
        <w:spacing w:after="20"/>
      </w:pPr>
    </w:p>
    <w:p>
      <w:pPr>
        <w:pStyle w:val="Heading1"/>
        <w:keepNext/>
        <w:spacing w:before="120" w:after="60" w:line="252" w:lineRule="auto"/>
      </w:pPr>
      <w:r>
        <w:rPr>
          <w:rFonts w:ascii="Cambria" w:hAnsi="Cambria" w:eastAsia="Cambria"/>
          <w:b/>
          <w:color w:val="1F4E79"/>
          <w:sz w:val="24"/>
        </w:rPr>
        <w:t>8. Competence, Awareness and Culture</w:t>
      </w:r>
    </w:p>
    <w:p>
      <w:pPr>
        <w:pStyle w:val="ListBullet"/>
        <w:spacing w:before="0" w:after="50" w:line="252" w:lineRule="auto"/>
      </w:pPr>
      <w:r>
        <w:rPr>
          <w:rFonts w:ascii="Cambria" w:hAnsi="Cambria" w:eastAsia="Cambria"/>
          <w:sz w:val="20"/>
        </w:rPr>
        <w:t>Define competence for PIMS owners, request handlers, incident teams, privacy engineers, auditors and other roles whose decisions materially affect PII.</w:t>
      </w:r>
    </w:p>
    <w:p>
      <w:pPr>
        <w:pStyle w:val="ListBullet"/>
        <w:spacing w:before="0" w:after="50" w:line="252" w:lineRule="auto"/>
      </w:pPr>
      <w:r>
        <w:rPr>
          <w:rFonts w:ascii="Cambria" w:hAnsi="Cambria" w:eastAsia="Cambria"/>
          <w:sz w:val="20"/>
        </w:rPr>
        <w:t>Use role-based training for higher-risk processing rather than relying only on generic annual awareness.</w:t>
      </w:r>
    </w:p>
    <w:p>
      <w:pPr>
        <w:pStyle w:val="ListBullet"/>
        <w:spacing w:before="0" w:after="50" w:line="252" w:lineRule="auto"/>
      </w:pPr>
      <w:r>
        <w:rPr>
          <w:rFonts w:ascii="Cambria" w:hAnsi="Cambria" w:eastAsia="Cambria"/>
          <w:sz w:val="20"/>
        </w:rPr>
        <w:t>Use audit, incident, request and quality evidence to target refreshers and coaching.</w:t>
      </w:r>
    </w:p>
    <w:p>
      <w:pPr>
        <w:pStyle w:val="ListBullet"/>
        <w:spacing w:before="0" w:after="50" w:line="252" w:lineRule="auto"/>
      </w:pPr>
      <w:r>
        <w:rPr>
          <w:rFonts w:ascii="Cambria" w:hAnsi="Cambria" w:eastAsia="Cambria"/>
          <w:sz w:val="20"/>
        </w:rPr>
        <w:t>Make reporting/privacy escalation routes easy to understand and use.</w:t>
      </w:r>
    </w:p>
    <w:p>
      <w:pPr>
        <w:pStyle w:val="Heading1"/>
        <w:keepNext/>
        <w:spacing w:before="120" w:after="60" w:line="252" w:lineRule="auto"/>
      </w:pPr>
      <w:r>
        <w:rPr>
          <w:rFonts w:ascii="Cambria" w:hAnsi="Cambria" w:eastAsia="Cambria"/>
          <w:b/>
          <w:color w:val="1F4E79"/>
          <w:sz w:val="24"/>
        </w:rPr>
        <w:t>9. Third-Party and Processor Governance</w:t>
      </w:r>
    </w:p>
    <w:p>
      <w:pPr>
        <w:spacing w:before="0" w:after="80" w:line="252" w:lineRule="auto"/>
      </w:pPr>
      <w:r>
        <w:rPr>
          <w:rFonts w:ascii="Cambria" w:hAnsi="Cambria" w:eastAsia="Cambria"/>
          <w:i w:val="0"/>
          <w:sz w:val="20"/>
        </w:rPr>
        <w:t>Use privacy risk to determine due diligence, contractual requirements, approval, monitoring and exit rigor. Maintain evidence of processing roles, instructions, confidentiality/security expectations, assistance obligations, sub-processor arrangements, incident notification, return/deletion and material changes as applicable.</w:t>
      </w:r>
    </w:p>
    <w:p>
      <w:pPr>
        <w:pStyle w:val="Heading1"/>
        <w:keepNext/>
        <w:spacing w:before="120" w:after="60" w:line="252" w:lineRule="auto"/>
      </w:pPr>
      <w:r>
        <w:rPr>
          <w:rFonts w:ascii="Cambria" w:hAnsi="Cambria" w:eastAsia="Cambria"/>
          <w:b/>
          <w:color w:val="1F4E79"/>
          <w:sz w:val="24"/>
        </w:rPr>
        <w:t>10. Monitoring and Operating Rhythm</w:t>
      </w:r>
    </w:p>
    <w:tbl>
      <w:tblPr>
        <w:tblW w:type="auto" w:w="0"/>
        <w:jc w:val="center"/>
        <w:tblLayout w:type="fixed"/>
        <w:tblLook w:val="04A0"/>
      </w:tblPr>
      <w:tblGrid>
        <w:gridCol w:w="3118"/>
        <w:gridCol w:w="3118"/>
        <w:gridCol w:w="3118"/>
      </w:tblGrid>
      <w:tr>
        <w:trPr>
          <w:tblHeader w:val="true"/>
        </w:trPr>
        <w:tc>
          <w:tcPr>
            <w:tcW w:type="dxa" w:w="23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Cadence / Trigger</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Typical PIMS Activity</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Output</w:t>
            </w:r>
          </w:p>
        </w:tc>
      </w:tr>
      <w:tr>
        <w:trPr>
          <w:cantSplit/>
        </w:trPr>
        <w:tc>
          <w:tcPr>
            <w:tcW w:type="dxa" w:w="23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Monthly / operational</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Review request aging, incidents, high-risk actions and emerging processing changes.</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Operations dashboard / escalations</w:t>
            </w:r>
          </w:p>
        </w:tc>
      </w:tr>
      <w:tr>
        <w:trPr>
          <w:cantSplit/>
        </w:trPr>
        <w:tc>
          <w:tcPr>
            <w:tcW w:type="dxa" w:w="23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Quarterly / risk-based</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Review processing-owner attestations, supplier privacy status and PIA/risk treatment progress.</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Risk and governance update</w:t>
            </w:r>
          </w:p>
        </w:tc>
      </w:tr>
      <w:tr>
        <w:trPr>
          <w:cantSplit/>
        </w:trPr>
        <w:tc>
          <w:tcPr>
            <w:tcW w:type="dxa" w:w="23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Per project/change</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Screen privacy impact and update inventory/notices/contracts/controls as needed.</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Approved change evidence</w:t>
            </w:r>
          </w:p>
        </w:tc>
      </w:tr>
      <w:tr>
        <w:trPr>
          <w:cantSplit/>
        </w:trPr>
        <w:tc>
          <w:tcPr>
            <w:tcW w:type="dxa" w:w="23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Planned audit cycle</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Audit governance and operational privacy controls using risk-based sampling.</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Audit report / corrective actions</w:t>
            </w:r>
          </w:p>
        </w:tc>
      </w:tr>
      <w:tr>
        <w:trPr>
          <w:cantSplit/>
        </w:trPr>
        <w:tc>
          <w:tcPr>
            <w:tcW w:type="dxa" w:w="23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Planned management review</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Review PIMS suitability, adequacy, effectiveness, resources and improvement priorities.</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Minutes / management actions</w:t>
            </w:r>
          </w:p>
        </w:tc>
      </w:tr>
      <w:tr>
        <w:trPr>
          <w:cantSplit/>
        </w:trPr>
        <w:tc>
          <w:tcPr>
            <w:tcW w:type="dxa" w:w="232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Incident / major change</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Perform focused reassessment and lessons learned.</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Updated risk, controls and documents</w:t>
            </w:r>
          </w:p>
        </w:tc>
      </w:tr>
    </w:tbl>
    <w:p>
      <w:pPr>
        <w:pStyle w:val="Heading1"/>
        <w:keepNext/>
        <w:spacing w:before="120" w:after="60" w:line="252" w:lineRule="auto"/>
      </w:pPr>
      <w:r>
        <w:rPr>
          <w:rFonts w:ascii="Cambria" w:hAnsi="Cambria" w:eastAsia="Cambria"/>
          <w:b/>
          <w:color w:val="1F4E79"/>
          <w:sz w:val="24"/>
        </w:rPr>
        <w:t>11. Illustrative Operating Examples</w:t>
      </w:r>
    </w:p>
    <w:tbl>
      <w:tblPr>
        <w:tblW w:type="auto" w:w="0"/>
        <w:jc w:val="center"/>
        <w:tblLayout w:type="fixed"/>
        <w:tblLook w:val="04A0"/>
      </w:tblPr>
      <w:tblGrid>
        <w:gridCol w:w="1871"/>
        <w:gridCol w:w="1871"/>
        <w:gridCol w:w="1871"/>
        <w:gridCol w:w="1871"/>
        <w:gridCol w:w="1871"/>
      </w:tblGrid>
      <w:tr>
        <w:trPr>
          <w:tblHeader w:val="true"/>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Data Type</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Trigger</w:t>
            </w:r>
          </w:p>
        </w:tc>
        <w:tc>
          <w:tcPr>
            <w:tcW w:type="dxa" w:w="357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Illustrative PIMS Response</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Owner</w:t>
            </w:r>
          </w:p>
        </w:tc>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Evidence</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New customer analytics purpose</w:t>
            </w:r>
          </w:p>
        </w:tc>
        <w:tc>
          <w:tcPr>
            <w:tcW w:type="dxa" w:w="357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Update processing inventory, run privacy screening/assessment, confirm transparency and minimize data fields.</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Product + Privacy</w:t>
            </w:r>
          </w:p>
        </w:tc>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Change approval / PIA</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Processor adds sub-processor</w:t>
            </w:r>
          </w:p>
        </w:tc>
        <w:tc>
          <w:tcPr>
            <w:tcW w:type="dxa" w:w="357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Assess change, contractual/instruction impact, location and risk before approval.</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Procurement / Privacy</w:t>
            </w:r>
          </w:p>
        </w:tc>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Supplier review / approval</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Request backlog rises</w:t>
            </w:r>
          </w:p>
        </w:tc>
        <w:tc>
          <w:tcPr>
            <w:tcW w:type="dxa" w:w="357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Analyze demand/capacity and bottlenecks; assign corrective/improvement actions.</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Privacy Operations</w:t>
            </w:r>
          </w:p>
        </w:tc>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KPI trend / action plan</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Recurring access-related privacy incidents</w:t>
            </w:r>
          </w:p>
        </w:tc>
        <w:tc>
          <w:tcPr>
            <w:tcW w:type="dxa" w:w="357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Investigate systemic cause, remediate access control and verify effectiveness.</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Security + Privacy</w:t>
            </w:r>
          </w:p>
        </w:tc>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Incident trend / verification</w:t>
            </w:r>
          </w:p>
        </w:tc>
      </w:tr>
      <w:tr>
        <w:trPr>
          <w:cantSplit/>
        </w:trPr>
        <w:tc>
          <w:tcPr>
            <w:tcW w:type="dxa" w:w="113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192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Internal audit finds late inventory attestations</w:t>
            </w:r>
          </w:p>
        </w:tc>
        <w:tc>
          <w:tcPr>
            <w:tcW w:type="dxa" w:w="357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Assign owner KPI and management escalation; verify on next review cycle.</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PIMS Manager</w:t>
            </w:r>
          </w:p>
        </w:tc>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Audit action / review result</w:t>
            </w:r>
          </w:p>
        </w:tc>
      </w:tr>
    </w:tbl>
    <w:p>
      <w:pPr>
        <w:pStyle w:val="Heading1"/>
        <w:keepNext/>
        <w:spacing w:before="120" w:after="60" w:line="252" w:lineRule="auto"/>
      </w:pPr>
      <w:r>
        <w:rPr>
          <w:rFonts w:ascii="Cambria" w:hAnsi="Cambria" w:eastAsia="Cambria"/>
          <w:b/>
          <w:color w:val="1F4E79"/>
          <w:sz w:val="24"/>
        </w:rPr>
        <w:t>12. Internal Audit and Management Review</w:t>
      </w:r>
    </w:p>
    <w:p>
      <w:pPr>
        <w:spacing w:before="0" w:after="80" w:line="252" w:lineRule="auto"/>
      </w:pPr>
      <w:r>
        <w:rPr>
          <w:rFonts w:ascii="Cambria" w:hAnsi="Cambria" w:eastAsia="Cambria"/>
          <w:i w:val="0"/>
          <w:sz w:val="20"/>
        </w:rPr>
        <w:t>Use internal audit to obtain independent, evidence-based assurance over both PIMS governance and real operating controls. Use management review to evaluate trends, risks, resources, changes and audit results and to make decisions that improve the PIMS. Keep the two activities linked through corrective-action and follow-up evidence.</w:t>
      </w:r>
    </w:p>
    <w:p>
      <w:pPr>
        <w:pStyle w:val="Heading1"/>
        <w:keepNext/>
        <w:spacing w:before="120" w:after="60" w:line="252" w:lineRule="auto"/>
      </w:pPr>
      <w:r>
        <w:rPr>
          <w:rFonts w:ascii="Cambria" w:hAnsi="Cambria" w:eastAsia="Cambria"/>
          <w:b/>
          <w:color w:val="1F4E79"/>
          <w:sz w:val="24"/>
        </w:rPr>
        <w:t>13. Corrective Action and Continual Improvement</w:t>
      </w:r>
    </w:p>
    <w:p>
      <w:pPr>
        <w:pStyle w:val="ListBullet"/>
        <w:spacing w:before="0" w:after="50" w:line="252" w:lineRule="auto"/>
      </w:pPr>
      <w:r>
        <w:rPr>
          <w:rFonts w:ascii="Cambria" w:hAnsi="Cambria" w:eastAsia="Cambria"/>
          <w:sz w:val="20"/>
        </w:rPr>
        <w:t>Correct the immediate issue where necessary.</w:t>
      </w:r>
    </w:p>
    <w:p>
      <w:pPr>
        <w:pStyle w:val="ListBullet"/>
        <w:spacing w:before="0" w:after="50" w:line="252" w:lineRule="auto"/>
      </w:pPr>
      <w:r>
        <w:rPr>
          <w:rFonts w:ascii="Cambria" w:hAnsi="Cambria" w:eastAsia="Cambria"/>
          <w:sz w:val="20"/>
        </w:rPr>
        <w:t>Evaluate cause when the issue is systemic, recurring or material.</w:t>
      </w:r>
    </w:p>
    <w:p>
      <w:pPr>
        <w:pStyle w:val="ListBullet"/>
        <w:spacing w:before="0" w:after="50" w:line="252" w:lineRule="auto"/>
      </w:pPr>
      <w:r>
        <w:rPr>
          <w:rFonts w:ascii="Cambria" w:hAnsi="Cambria" w:eastAsia="Cambria"/>
          <w:sz w:val="20"/>
        </w:rPr>
        <w:t>Assign action, owner, due date and expected evidence.</w:t>
      </w:r>
    </w:p>
    <w:p>
      <w:pPr>
        <w:pStyle w:val="ListBullet"/>
        <w:spacing w:before="0" w:after="50" w:line="252" w:lineRule="auto"/>
      </w:pPr>
      <w:r>
        <w:rPr>
          <w:rFonts w:ascii="Cambria" w:hAnsi="Cambria" w:eastAsia="Cambria"/>
          <w:sz w:val="20"/>
        </w:rPr>
        <w:t>Update relevant inventory, risk, procedure, training, contract or control when the cause requires it.</w:t>
      </w:r>
    </w:p>
    <w:p>
      <w:pPr>
        <w:pStyle w:val="ListBullet"/>
        <w:spacing w:before="0" w:after="50" w:line="252" w:lineRule="auto"/>
      </w:pPr>
      <w:r>
        <w:rPr>
          <w:rFonts w:ascii="Cambria" w:hAnsi="Cambria" w:eastAsia="Cambria"/>
          <w:sz w:val="20"/>
        </w:rPr>
        <w:t>Verify effectiveness before closure when privacy risk justifies it.</w:t>
      </w:r>
    </w:p>
    <w:p>
      <w:pPr>
        <w:pStyle w:val="ListBullet"/>
        <w:spacing w:before="0" w:after="50" w:line="252" w:lineRule="auto"/>
      </w:pPr>
      <w:r>
        <w:rPr>
          <w:rFonts w:ascii="Cambria" w:hAnsi="Cambria" w:eastAsia="Cambria"/>
          <w:sz w:val="20"/>
        </w:rPr>
        <w:t>Feed lessons from requests, incidents, suppliers, audits and management review into future design and priorities.</w:t>
      </w:r>
    </w:p>
    <w:p>
      <w:pPr>
        <w:pStyle w:val="Heading1"/>
        <w:keepNext/>
        <w:spacing w:before="120" w:after="60" w:line="252" w:lineRule="auto"/>
      </w:pPr>
      <w:r>
        <w:rPr>
          <w:rFonts w:ascii="Cambria" w:hAnsi="Cambria" w:eastAsia="Cambria"/>
          <w:b/>
          <w:color w:val="1F4E79"/>
          <w:sz w:val="24"/>
        </w:rPr>
        <w:t>14. PIMS Document Architecture</w:t>
      </w:r>
    </w:p>
    <w:tbl>
      <w:tblPr>
        <w:tblW w:type="auto" w:w="0"/>
        <w:jc w:val="center"/>
        <w:tblLayout w:type="fixed"/>
        <w:tblLook w:val="04A0"/>
      </w:tblPr>
      <w:tblGrid>
        <w:gridCol w:w="4677"/>
        <w:gridCol w:w="4677"/>
      </w:tblGrid>
      <w:tr>
        <w:trPr>
          <w:tblHeader w:val="true"/>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Document Layer</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Typical Controlled Information</w:t>
            </w:r>
          </w:p>
        </w:tc>
      </w:tr>
      <w:tr>
        <w:trPr>
          <w:cantSplit/>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Direction / governance</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PIMS scope, privacy policy, manual, objectives, governance roles and management-review records.</w:t>
            </w:r>
          </w:p>
        </w:tc>
      </w:tr>
      <w:tr>
        <w:trPr>
          <w:cantSplit/>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Operational control</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Processing inventory, privacy risk/impact assessment, requests, incidents, privacy by design, supplier/processor and retention procedures.</w:t>
            </w:r>
          </w:p>
        </w:tc>
      </w:tr>
      <w:tr>
        <w:trPr>
          <w:cantSplit/>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Monitoring / assurance</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KPI register, monitoring reports, audit programme/checklists/reports, corrective actions and management-review actions.</w:t>
            </w:r>
          </w:p>
        </w:tc>
      </w:tr>
      <w:tr>
        <w:trPr>
          <w:cantSplit/>
        </w:trPr>
        <w:tc>
          <w:tcPr>
            <w:tcW w:type="dxa" w:w="26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Evidence / records</w:t>
            </w:r>
          </w:p>
        </w:tc>
        <w:tc>
          <w:tcPr>
            <w:tcW w:type="dxa" w:w="669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Approved notices, processing records, request cases, PIAs, supplier assessments, incident records, access reviews, training and verification evidence.</w:t>
            </w:r>
          </w:p>
        </w:tc>
      </w:tr>
    </w:tbl>
    <w:p>
      <w:pPr>
        <w:pStyle w:val="Heading1"/>
        <w:keepNext/>
        <w:spacing w:before="120" w:after="60" w:line="252" w:lineRule="auto"/>
      </w:pPr>
      <w:r>
        <w:rPr>
          <w:rFonts w:ascii="Cambria" w:hAnsi="Cambria" w:eastAsia="Cambria"/>
          <w:b/>
          <w:color w:val="1F4E79"/>
          <w:sz w:val="24"/>
        </w:rPr>
        <w:t>15. Implementation Readiness Questions</w:t>
      </w:r>
    </w:p>
    <w:p>
      <w:pPr>
        <w:pStyle w:val="ListBullet"/>
        <w:spacing w:before="0" w:after="50" w:line="252" w:lineRule="auto"/>
      </w:pPr>
      <w:r>
        <w:rPr>
          <w:rFonts w:ascii="Cambria" w:hAnsi="Cambria" w:eastAsia="Cambria"/>
          <w:sz w:val="20"/>
        </w:rPr>
        <w:t>Can the organization describe its material PII processing and accountable owners?</w:t>
      </w:r>
    </w:p>
    <w:p>
      <w:pPr>
        <w:pStyle w:val="ListBullet"/>
        <w:spacing w:before="0" w:after="50" w:line="252" w:lineRule="auto"/>
      </w:pPr>
      <w:r>
        <w:rPr>
          <w:rFonts w:ascii="Cambria" w:hAnsi="Cambria" w:eastAsia="Cambria"/>
          <w:sz w:val="20"/>
        </w:rPr>
        <w:t>Can it identify where it acts as controller and processor?</w:t>
      </w:r>
    </w:p>
    <w:p>
      <w:pPr>
        <w:pStyle w:val="ListBullet"/>
        <w:spacing w:before="0" w:after="50" w:line="252" w:lineRule="auto"/>
      </w:pPr>
      <w:r>
        <w:rPr>
          <w:rFonts w:ascii="Cambria" w:hAnsi="Cambria" w:eastAsia="Cambria"/>
          <w:sz w:val="20"/>
        </w:rPr>
        <w:t>Are high privacy risks and impact assessments current and linked to actions?</w:t>
      </w:r>
    </w:p>
    <w:p>
      <w:pPr>
        <w:pStyle w:val="ListBullet"/>
        <w:spacing w:before="0" w:after="50" w:line="252" w:lineRule="auto"/>
      </w:pPr>
      <w:r>
        <w:rPr>
          <w:rFonts w:ascii="Cambria" w:hAnsi="Cambria" w:eastAsia="Cambria"/>
          <w:sz w:val="20"/>
        </w:rPr>
        <w:t>Can staff locate current privacy procedures and evidence?</w:t>
      </w:r>
    </w:p>
    <w:p>
      <w:pPr>
        <w:pStyle w:val="ListBullet"/>
        <w:spacing w:before="0" w:after="50" w:line="252" w:lineRule="auto"/>
      </w:pPr>
      <w:r>
        <w:rPr>
          <w:rFonts w:ascii="Cambria" w:hAnsi="Cambria" w:eastAsia="Cambria"/>
          <w:sz w:val="20"/>
        </w:rPr>
        <w:t>Can request, supplier and incident processes be demonstrated from real records?</w:t>
      </w:r>
    </w:p>
    <w:p>
      <w:pPr>
        <w:pStyle w:val="ListBullet"/>
        <w:spacing w:before="0" w:after="50" w:line="252" w:lineRule="auto"/>
      </w:pPr>
      <w:r>
        <w:rPr>
          <w:rFonts w:ascii="Cambria" w:hAnsi="Cambria" w:eastAsia="Cambria"/>
          <w:sz w:val="20"/>
        </w:rPr>
        <w:t>Do management indicators reflect actual PIMS performance without unnecessary PII?</w:t>
      </w:r>
    </w:p>
    <w:p>
      <w:pPr>
        <w:pStyle w:val="ListBullet"/>
        <w:spacing w:before="0" w:after="50" w:line="252" w:lineRule="auto"/>
      </w:pPr>
      <w:r>
        <w:rPr>
          <w:rFonts w:ascii="Cambria" w:hAnsi="Cambria" w:eastAsia="Cambria"/>
          <w:sz w:val="20"/>
        </w:rPr>
        <w:t>Are audit findings and management-review actions being closed with evidence?</w:t>
      </w:r>
    </w:p>
    <w:p>
      <w:pPr>
        <w:pStyle w:val="Heading1"/>
        <w:keepNext/>
        <w:spacing w:before="120" w:after="60" w:line="252" w:lineRule="auto"/>
      </w:pPr>
      <w:r>
        <w:rPr>
          <w:rFonts w:ascii="Cambria" w:hAnsi="Cambria" w:eastAsia="Cambria"/>
          <w:b/>
          <w:color w:val="1F4E79"/>
          <w:sz w:val="24"/>
        </w:rPr>
        <w:t>References and Related Sources</w:t>
      </w:r>
    </w:p>
    <w:tbl>
      <w:tblPr>
        <w:tblW w:type="auto" w:w="0"/>
        <w:jc w:val="center"/>
        <w:tblLayout w:type="fixed"/>
        <w:tblLook w:val="04A0"/>
      </w:tblPr>
      <w:tblGrid>
        <w:gridCol w:w="3118"/>
        <w:gridCol w:w="3118"/>
        <w:gridCol w:w="3118"/>
      </w:tblGrid>
      <w:tr>
        <w:trPr>
          <w:tblHeader w:val="true"/>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Reference</w:t>
            </w:r>
          </w:p>
        </w:tc>
        <w:tc>
          <w:tcPr>
            <w:tcW w:type="dxa" w:w="43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Use in this document</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Source / Location</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ISO/IEC 27701:2025</w:t>
            </w:r>
          </w:p>
        </w:tc>
        <w:tc>
          <w:tcPr>
            <w:tcW w:type="dxa" w:w="43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information management systems — requirements and guidance. Current published Edition 2; may be implemented as a standalone PIMS or integrated with other management systems.</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https://committee.iso.org/standard/27701</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ISO/IEC 27001:2022</w:t>
            </w:r>
          </w:p>
        </w:tc>
        <w:tc>
          <w:tcPr>
            <w:tcW w:type="dxa" w:w="43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Information security management systems — requirements. Relevant when privacy management is integrated with an ISMS.</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https://committee.iso.org/standard/27001</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Organization privacy obligations</w:t>
            </w:r>
          </w:p>
        </w:tc>
        <w:tc>
          <w:tcPr>
            <w:tcW w:type="dxa" w:w="43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Verified laws, regulations, regulator guidance, contracts, customer commitments and sector requirements applicable to the organization.</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[AUTHORITATIVE EXTERNAL SOURCES / LEGAL REGISTER]</w:t>
            </w:r>
          </w:p>
        </w:tc>
      </w:tr>
      <w:tr>
        <w:trPr>
          <w:cantSplit/>
        </w:trPr>
        <w:tc>
          <w:tcPr>
            <w:tcW w:type="dxa" w:w="243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Organization PIMS repository</w:t>
            </w:r>
          </w:p>
        </w:tc>
        <w:tc>
          <w:tcPr>
            <w:tcW w:type="dxa" w:w="436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Controlled policies, processing inventory, risk assessments, privacy notices, requests, supplier records, incidents, monitoring, audit and management-review evidence.</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[INTERNAL CONTROLLED REPOSITORY]</w:t>
            </w:r>
          </w:p>
        </w:tc>
      </w:tr>
    </w:tbl>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Privacy / PIMS Manager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Top Management</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Privacy Management System Guidance</w:t>
          </w:r>
        </w:p>
      </w:tc>
      <w:tc>
        <w:tcPr>
          <w:tcW w:type="dxa" w:w="2324"/>
          <w:tcMar>
            <w:top w:w="20" w:type="dxa"/>
            <w:left w:w="40" w:type="dxa"/>
            <w:bottom w:w="20" w:type="dxa"/>
            <w:right w:w="40" w:type="dxa"/>
          </w:tcMar>
        </w:tcPr>
        <w:p>
          <w:pPr>
            <w:jc w:val="right"/>
          </w:pPr>
          <w:r>
            <w:rPr>
              <w:rFonts w:ascii="Cambria" w:hAnsi="Cambria" w:eastAsia="Cambria"/>
              <w:b/>
              <w:color w:val="666666"/>
              <w:sz w:val="16"/>
            </w:rPr>
            <w:t>PIMS-GOV-006</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