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PRIVACY MANAGEMENT REVIEW PROCEDURE</w:t>
      </w:r>
    </w:p>
    <w:p>
      <w:pPr>
        <w:spacing w:after="120"/>
      </w:pPr>
      <w:r>
        <w:rPr>
          <w:rFonts w:ascii="Cambria" w:hAnsi="Cambria" w:eastAsia="Cambria"/>
          <w:b/>
          <w:sz w:val="23"/>
        </w:rPr>
        <w:t>ISO/IEC 27701:2025</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Privacy / PIMS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Management review should be decision-oriented. Do not overload the meeting with raw case-level PII; use trends, material issues and restricted supporting evidence only where a decision requires it.</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how top management reviews the continuing suitability, adequacy and effectiveness of the Privacy Information Management System (PIMS), makes decisions and tracks resulting actions.</w:t>
      </w:r>
    </w:p>
    <w:p>
      <w:pPr>
        <w:pStyle w:val="Heading1"/>
        <w:keepNext/>
        <w:spacing w:before="120" w:after="60" w:line="252" w:lineRule="auto"/>
      </w:pPr>
      <w:r>
        <w:rPr>
          <w:rFonts w:ascii="Cambria" w:hAnsi="Cambria" w:eastAsia="Cambria"/>
          <w:b/>
          <w:color w:val="1F4E79"/>
          <w:sz w:val="24"/>
        </w:rPr>
        <w:t>2. Scope and Frequency</w:t>
      </w:r>
    </w:p>
    <w:p>
      <w:pPr>
        <w:spacing w:before="0" w:after="80" w:line="252" w:lineRule="auto"/>
      </w:pPr>
      <w:r>
        <w:rPr>
          <w:rFonts w:ascii="Cambria" w:hAnsi="Cambria" w:eastAsia="Cambria"/>
          <w:i w:val="0"/>
          <w:sz w:val="20"/>
        </w:rPr>
        <w:t>Applies to the PIMS scope and relevant controller/processor activities. Management review is conducted at a planned interval determined by the organization and additionally when material changes, incidents, risk exposure, audit results or regulatory/contract developments justify an extraordinary review.</w:t>
      </w:r>
    </w:p>
    <w:p>
      <w:pPr>
        <w:pStyle w:val="Heading1"/>
        <w:keepNext/>
        <w:spacing w:before="120" w:after="60" w:line="252" w:lineRule="auto"/>
      </w:pPr>
      <w:r>
        <w:rPr>
          <w:rFonts w:ascii="Cambria" w:hAnsi="Cambria" w:eastAsia="Cambria"/>
          <w:b/>
          <w:color w:val="1F4E79"/>
          <w:sz w:val="24"/>
        </w:rPr>
        <w:t>3. Responsibilities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 Review Chair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Chair the review, challenge performance, approve priorities/resources and make or endorse required decisions.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 PIMS Manager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Coordinate agenda, collect verified inputs, identify decision points, record conclusions and track actions.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 Legal / Compliance Specialists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Present verified obligation changes, significant interpretation issues and external developments within assigned authority.</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PII Processing / Business Owners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performance, risk, request, incident, supplier and change information for their processing activities.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Information Security / Technology</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privacy-relevant security, technology, access, incident, resilience and change evidence.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 Assurance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audit results, systemic themes, follow-up status and independent observations as appropriate.</w:t>
            </w:r>
          </w:p>
        </w:tc>
      </w:tr>
    </w:tbl>
    <w:p>
      <w:pPr>
        <w:pStyle w:val="Heading1"/>
        <w:keepNext/>
        <w:spacing w:before="120" w:after="60" w:line="252" w:lineRule="auto"/>
      </w:pPr>
      <w:r>
        <w:rPr>
          <w:rFonts w:ascii="Cambria" w:hAnsi="Cambria" w:eastAsia="Cambria"/>
          <w:b/>
          <w:color w:val="1F4E79"/>
          <w:sz w:val="24"/>
        </w:rPr>
        <w:t>4. Required Review Inputs</w:t>
      </w:r>
    </w:p>
    <w:tbl>
      <w:tblPr>
        <w:tblW w:type="auto" w:w="0"/>
        <w:jc w:val="center"/>
        <w:tblLayout w:type="fixed"/>
        <w:tblLook w:val="04A0"/>
      </w:tblPr>
      <w:tblGrid>
        <w:gridCol w:w="4677"/>
        <w:gridCol w:w="4677"/>
      </w:tblGrid>
      <w:tr>
        <w:trPr>
          <w:tblHeader w:val="true"/>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Input</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Review Focus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Previous review</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Status and effectiveness of previous decisions and actions.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Context / scope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Material changes to organization, services, processing, locations, technologies, roles, interested parties or PIMS scope.</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obligations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Verified changes in applicable legal, regulatory, contractual and customer privacy requirements.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Objectives / indicators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Performance against approved privacy objectives, thresholds, trends and notable exceptions.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PII processing governance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Inventory health, ownership, material processing changes and unresolved role/accountability issues.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risk / impact</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High or changing privacy risks, PIA/DPIA screening/assessment status, treatments and accepted residual risk.</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PII principal requests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Volume, aging, timeliness, quality, escalation and recurring request issues.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Incidents / breaches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Trends, material incidents, notification decisions, control failures and lessons learned.</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Suppliers / processors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Material supplier privacy issues, due diligence, contract gaps, sub-processors, incidents and exit concerns.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 assurance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Internal/external audit results, findings, corrective actions and effectiveness verification.</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Resources / competence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Capacity, skills, awareness, technology or specialist support constraints affecting PIMS performance.</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Improvement opportunities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engineering, minimization, automation, transparency, process simplification and control improvements.</w:t>
            </w:r>
          </w:p>
        </w:tc>
      </w:tr>
    </w:tbl>
    <w:p>
      <w:pPr>
        <w:pStyle w:val="Heading1"/>
        <w:keepNext/>
        <w:spacing w:before="120" w:after="60" w:line="252" w:lineRule="auto"/>
      </w:pPr>
      <w:r>
        <w:rPr>
          <w:rFonts w:ascii="Cambria" w:hAnsi="Cambria" w:eastAsia="Cambria"/>
          <w:b/>
          <w:color w:val="1F4E79"/>
          <w:sz w:val="24"/>
        </w:rPr>
        <w:t>5. Procedure</w:t>
      </w:r>
    </w:p>
    <w:tbl>
      <w:tblPr>
        <w:tblW w:type="auto" w:w="0"/>
        <w:jc w:val="center"/>
        <w:tblLayout w:type="fixed"/>
        <w:tblLook w:val="04A0"/>
      </w:tblPr>
      <w:tblGrid>
        <w:gridCol w:w="2339"/>
        <w:gridCol w:w="2339"/>
        <w:gridCol w:w="2339"/>
        <w:gridCol w:w="2339"/>
      </w:tblGrid>
      <w:tr>
        <w:trPr>
          <w:tblHeader w:val="true"/>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Responsible</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Activity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 / Record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Set date, chair, participants, scope and decision objectives; identify any restricted agenda items.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review plan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Input Owners</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Submit current, verified information by the agreed cut-off; identify material exceptions and decisions required.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input pack</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Validate consistency, summarize trends and remove unnecessary case-level PII from the general pack.</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Decision-ready management pack</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Chair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Confirm quorum/participants and review previous actions before new topics.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Previous-action disposition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Top Management / Owners</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each input, challenge causes/risks and determine whether current PIMS arrangements remain suitable and effective.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Recorded conclusions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Top Management</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 decisions on risk treatment, resources, priorities, policy/objectives, process changes, escalation or acceptance within authority.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Management decisions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 actions with accountable owner, due date, expected evidence and required effectiveness review.</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 tracker</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Chair / Approver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 minutes and controlled distribution; restrict sensitive attachments as needed.</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minutes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 Owners</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Implement actions and provide closure/effectiveness evidence.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 evidence</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442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Monitor overdue/material actions and feed unresolved items into the next review or escalation process.</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Follow-up status</w:t>
            </w:r>
          </w:p>
        </w:tc>
      </w:tr>
    </w:tbl>
    <w:p>
      <w:pPr>
        <w:pStyle w:val="Heading1"/>
        <w:keepNext/>
        <w:spacing w:before="120" w:after="60" w:line="252" w:lineRule="auto"/>
      </w:pPr>
      <w:r>
        <w:rPr>
          <w:rFonts w:ascii="Cambria" w:hAnsi="Cambria" w:eastAsia="Cambria"/>
          <w:b/>
          <w:color w:val="1F4E79"/>
          <w:sz w:val="24"/>
        </w:rPr>
        <w:t>6. Review Outputs</w:t>
      </w:r>
    </w:p>
    <w:p>
      <w:pPr>
        <w:pStyle w:val="ListBullet"/>
        <w:spacing w:before="0" w:after="50" w:line="252" w:lineRule="auto"/>
      </w:pPr>
      <w:r>
        <w:rPr>
          <w:rFonts w:ascii="Cambria" w:hAnsi="Cambria" w:eastAsia="Cambria"/>
          <w:sz w:val="20"/>
        </w:rPr>
        <w:t>Decisions on continued suitability, adequacy and effectiveness of the PIMS.</w:t>
      </w:r>
    </w:p>
    <w:p>
      <w:pPr>
        <w:pStyle w:val="ListBullet"/>
        <w:spacing w:before="0" w:after="50" w:line="252" w:lineRule="auto"/>
      </w:pPr>
      <w:r>
        <w:rPr>
          <w:rFonts w:ascii="Cambria" w:hAnsi="Cambria" w:eastAsia="Cambria"/>
          <w:sz w:val="20"/>
        </w:rPr>
        <w:t>Approved changes to PIMS scope, policy, objectives, risk treatment or operational controls where needed.</w:t>
      </w:r>
    </w:p>
    <w:p>
      <w:pPr>
        <w:pStyle w:val="ListBullet"/>
        <w:spacing w:before="0" w:after="50" w:line="252" w:lineRule="auto"/>
      </w:pPr>
      <w:r>
        <w:rPr>
          <w:rFonts w:ascii="Cambria" w:hAnsi="Cambria" w:eastAsia="Cambria"/>
          <w:sz w:val="20"/>
        </w:rPr>
        <w:t>Resource, competence or technology decisions needed to address material gaps.</w:t>
      </w:r>
    </w:p>
    <w:p>
      <w:pPr>
        <w:pStyle w:val="ListBullet"/>
        <w:spacing w:before="0" w:after="50" w:line="252" w:lineRule="auto"/>
      </w:pPr>
      <w:r>
        <w:rPr>
          <w:rFonts w:ascii="Cambria" w:hAnsi="Cambria" w:eastAsia="Cambria"/>
          <w:sz w:val="20"/>
        </w:rPr>
        <w:t>Actions arising from incidents, audit findings, request trends, supplier issues or changing privacy risk.</w:t>
      </w:r>
    </w:p>
    <w:p>
      <w:pPr>
        <w:pStyle w:val="ListBullet"/>
        <w:spacing w:before="0" w:after="50" w:line="252" w:lineRule="auto"/>
      </w:pPr>
      <w:r>
        <w:rPr>
          <w:rFonts w:ascii="Cambria" w:hAnsi="Cambria" w:eastAsia="Cambria"/>
          <w:sz w:val="20"/>
        </w:rPr>
        <w:t>Approved improvement priorities and assigned accountability.</w:t>
      </w:r>
    </w:p>
    <w:p>
      <w:pPr>
        <w:pStyle w:val="ListBullet"/>
        <w:spacing w:before="0" w:after="50" w:line="252" w:lineRule="auto"/>
      </w:pPr>
      <w:r>
        <w:rPr>
          <w:rFonts w:ascii="Cambria" w:hAnsi="Cambria" w:eastAsia="Cambria"/>
          <w:sz w:val="20"/>
        </w:rPr>
        <w:t>Escalation of unresolved legal/privacy issues to the appropriate authority.</w:t>
      </w:r>
    </w:p>
    <w:p>
      <w:pPr>
        <w:pStyle w:val="Heading1"/>
        <w:keepNext/>
        <w:spacing w:before="120" w:after="60" w:line="252" w:lineRule="auto"/>
      </w:pPr>
      <w:r>
        <w:rPr>
          <w:rFonts w:ascii="Cambria" w:hAnsi="Cambria" w:eastAsia="Cambria"/>
          <w:b/>
          <w:color w:val="1F4E79"/>
          <w:sz w:val="24"/>
        </w:rPr>
        <w:t>7. Illustrative Review Actions</w:t>
      </w:r>
    </w:p>
    <w:tbl>
      <w:tblPr>
        <w:tblW w:type="auto" w:w="0"/>
        <w:jc w:val="center"/>
        <w:tblLayout w:type="fixed"/>
        <w:tblLook w:val="04A0"/>
      </w:tblPr>
      <w:tblGrid>
        <w:gridCol w:w="1871"/>
        <w:gridCol w:w="1871"/>
        <w:gridCol w:w="1871"/>
        <w:gridCol w:w="1871"/>
        <w:gridCol w:w="1871"/>
      </w:tblGrid>
      <w:tr>
        <w:trPr>
          <w:tblHeader w:val="true"/>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Action ID</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Decision Basis</w:t>
            </w:r>
          </w:p>
        </w:tc>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Management Decision / Action</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 / Due / Status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PIMS-MR-A01</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Request backlog trend exceeds internal expectation.</w:t>
            </w:r>
          </w:p>
        </w:tc>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Add temporary review capacity and redesign triage for low-complexity requests.</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 Lead | 2026-10-31 | In Progress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PIMS-MR-A02</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Two high-risk supplier privacy actions remain overdue.</w:t>
            </w:r>
          </w:p>
        </w:tc>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Escalate to procurement governance and block expansion of affected processing until action evidence is accepted.</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Procurement / Privacy | 2026-10-15 | Open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PIMS-MR-A03</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incident trend reduced after access-control remediation.</w:t>
            </w:r>
          </w:p>
        </w:tc>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Verify effectiveness for one additional monitoring cycle before closing the improvement theme.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Security Lead | 2026-11-30 | In Progress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PIMS-MR-A04</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Processing inventory ownership is stable but one business unit has late attestations.</w:t>
            </w:r>
          </w:p>
        </w:tc>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Add owner-attestation KPI and targeted manager follow-up.</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Business Unit Lead | 2026-10-20 | Open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PIMS-MR-A05</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Audit confirmed current privacy awareness process is effective.</w:t>
            </w:r>
          </w:p>
        </w:tc>
        <w:tc>
          <w:tcPr>
            <w:tcW w:type="dxa" w:w="300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Maintain current cycle and refresh content after significant change.</w:t>
            </w:r>
          </w:p>
        </w:tc>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HR / Privacy | 2027-03-31 | Closed</w:t>
            </w:r>
          </w:p>
        </w:tc>
      </w:tr>
    </w:tbl>
    <w:p>
      <w:pPr>
        <w:pStyle w:val="Heading1"/>
        <w:keepNext/>
        <w:spacing w:before="120" w:after="60" w:line="252" w:lineRule="auto"/>
      </w:pPr>
      <w:r>
        <w:rPr>
          <w:rFonts w:ascii="Cambria" w:hAnsi="Cambria" w:eastAsia="Cambria"/>
          <w:b/>
          <w:color w:val="1F4E79"/>
          <w:sz w:val="24"/>
        </w:rPr>
        <w:t>8. Records and Distribution</w:t>
      </w:r>
    </w:p>
    <w:p>
      <w:pPr>
        <w:spacing w:before="0" w:after="80" w:line="252" w:lineRule="auto"/>
      </w:pPr>
      <w:r>
        <w:rPr>
          <w:rFonts w:ascii="Cambria" w:hAnsi="Cambria" w:eastAsia="Cambria"/>
          <w:i w:val="0"/>
          <w:sz w:val="20"/>
        </w:rPr>
        <w:t>Retain the approved agenda, input pack or controlled links, attendance, minutes, decisions and action evidence according to approved documented-information controls. Use restricted annexes or source records for sensitive legal, incident, investigation or individual case details where broad distribution is not appropriate.</w:t>
      </w:r>
    </w:p>
    <w:p>
      <w:pPr>
        <w:pStyle w:val="Heading1"/>
        <w:keepNext/>
        <w:spacing w:before="120" w:after="60" w:line="252" w:lineRule="auto"/>
      </w:pPr>
      <w:r>
        <w:rPr>
          <w:rFonts w:ascii="Cambria" w:hAnsi="Cambria" w:eastAsia="Cambria"/>
          <w:b/>
          <w:color w:val="1F4E79"/>
          <w:sz w:val="24"/>
        </w:rPr>
        <w:t>9. Escalation</w:t>
      </w:r>
    </w:p>
    <w:p>
      <w:pPr>
        <w:spacing w:before="0" w:after="80" w:line="252" w:lineRule="auto"/>
      </w:pPr>
      <w:r>
        <w:rPr>
          <w:rFonts w:ascii="Cambria" w:hAnsi="Cambria" w:eastAsia="Cambria"/>
          <w:i w:val="0"/>
          <w:sz w:val="20"/>
        </w:rPr>
        <w:t>Material privacy risk, unresolved high-impact processing, significant incident, regulatory matter or overdue management action that exceeds the review chair’s authority is escalated through the organization’s approved governance process without waiting for the next routine review.</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may be implemented as a standalone PIMS or integrated with other management systems.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https://committee.iso.org/standard/27701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when privacy management is integrated with an ISMS.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https://committee.iso.org/standard/27001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obligations</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Verified laws, regulations, regulator guidance, contracts, customer commitments and sector requirements applicable to the organization.</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[AUTHORITATIVE EXTERNAL SOURCES / LEGAL REGISTER]</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PIMS repository</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Controlled policies, processing inventory, risk assessments, privacy notices, requests, supplier records, incidents, monitoring, audit and management-review evidence.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CONTROLLED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Privacy / PIMS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Privacy Management Review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PIMS-PRO-003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