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440" w:after="200"/>
        <w:jc w:val="center"/>
      </w:pPr>
      <w:r>
        <w:rPr>
          <w:rFonts w:ascii="Cambria" w:hAnsi="Cambria" w:eastAsia="Cambria"/>
          <w:b/>
          <w:color w:val="1F4E79"/>
          <w:sz w:val="44"/>
        </w:rPr>
        <w:t>PRIVACY MANAGEMENT MANUAL</w:t>
      </w:r>
    </w:p>
    <w:p>
      <w:pPr>
        <w:spacing w:after="320"/>
        <w:jc w:val="center"/>
      </w:pPr>
      <w:r>
        <w:rPr>
          <w:rFonts w:ascii="Cambria" w:hAnsi="Cambria" w:eastAsia="Cambria"/>
          <w:b/>
          <w:color w:val="000000"/>
          <w:sz w:val="24"/>
        </w:rPr>
        <w:t>ISO/IEC 27701:2025</w:t>
      </w:r>
    </w:p>
    <w:p>
      <w:pPr>
        <w:spacing w:after="360"/>
        <w:jc w:val="center"/>
      </w:pPr>
      <w:r>
        <w:rPr>
          <w:rFonts w:ascii="Cambria" w:hAnsi="Cambria" w:eastAsia="Cambria"/>
          <w:i/>
          <w:color w:val="666666"/>
          <w:sz w:val="22"/>
        </w:rPr>
        <w:t>Enterprise Privacy Information Management System (PIMS) framework</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Privacy / PIMS Manager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This manual is a management-system framework. It does not create legal conclusions about applicable privacy laws, lawful bases, notification deadlines, data-transfer mechanisms or retention periods; those must be determined from authoritative requirements for each jurisdiction and processing context.</w:t>
            </w:r>
          </w:p>
        </w:tc>
      </w:tr>
    </w:tbl>
    <w:p>
      <w:pPr>
        <w:spacing w:after="2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Define how [ORGANIZATION NAME] establishes, implements, maintains and continually improves its Privacy Information Management System (PIMS) to govern PII processing, privacy risk, accountability, operational controls and assurance in alignment with ISO/IEC 27701:2025.</w:t>
      </w:r>
    </w:p>
    <w:p>
      <w:pPr>
        <w:pStyle w:val="Heading1"/>
        <w:keepNext/>
        <w:spacing w:before="120" w:after="60" w:line="252" w:lineRule="auto"/>
      </w:pPr>
      <w:r>
        <w:rPr>
          <w:rFonts w:ascii="Cambria" w:hAnsi="Cambria" w:eastAsia="Cambria"/>
          <w:b/>
          <w:color w:val="1F4E79"/>
          <w:sz w:val="24"/>
        </w:rPr>
        <w:t>2. PIMS Scope</w:t>
      </w:r>
    </w:p>
    <w:tbl>
      <w:tblPr>
        <w:tblW w:type="auto" w:w="0"/>
        <w:jc w:val="center"/>
        <w:tblLayout w:type="fixed"/>
        <w:tblLook w:val="04A0"/>
      </w:tblPr>
      <w:tblGrid>
        <w:gridCol w:w="4677"/>
        <w:gridCol w:w="4677"/>
      </w:tblGrid>
      <w:tr>
        <w:trPr>
          <w:tblHeader w:val="true"/>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Scope Element</w:t>
            </w:r>
          </w:p>
        </w:tc>
        <w:tc>
          <w:tcPr>
            <w:tcW w:type="dxa" w:w="612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Controlled Entry</w:t>
            </w:r>
          </w:p>
        </w:tc>
      </w:tr>
      <w:tr>
        <w:trPr>
          <w:cantSplit/>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Organization / legal entities</w:t>
            </w:r>
          </w:p>
        </w:tc>
        <w:tc>
          <w:tcPr>
            <w:tcW w:type="dxa" w:w="612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[DEFINE]</w:t>
            </w:r>
          </w:p>
        </w:tc>
      </w:tr>
      <w:tr>
        <w:trPr>
          <w:cantSplit/>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Products / services</w:t>
            </w:r>
          </w:p>
        </w:tc>
        <w:tc>
          <w:tcPr>
            <w:tcW w:type="dxa" w:w="612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[DEFINE]</w:t>
            </w:r>
          </w:p>
        </w:tc>
      </w:tr>
      <w:tr>
        <w:trPr>
          <w:cantSplit/>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Locations / jurisdictions</w:t>
            </w:r>
          </w:p>
        </w:tc>
        <w:tc>
          <w:tcPr>
            <w:tcW w:type="dxa" w:w="612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[DEFINE]</w:t>
            </w:r>
          </w:p>
        </w:tc>
      </w:tr>
      <w:tr>
        <w:trPr>
          <w:cantSplit/>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PII roles</w:t>
            </w:r>
          </w:p>
        </w:tc>
        <w:tc>
          <w:tcPr>
            <w:tcW w:type="dxa" w:w="612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[CONTROLLER / PROCESSOR / BOTH / OTHER AS APPLICABLE]</w:t>
            </w:r>
          </w:p>
        </w:tc>
      </w:tr>
      <w:tr>
        <w:trPr>
          <w:cantSplit/>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Systems / processing environments</w:t>
            </w:r>
          </w:p>
        </w:tc>
        <w:tc>
          <w:tcPr>
            <w:tcW w:type="dxa" w:w="612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[DEFINE]</w:t>
            </w:r>
          </w:p>
        </w:tc>
      </w:tr>
      <w:tr>
        <w:trPr>
          <w:cantSplit/>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Exclusions / interfaces</w:t>
            </w:r>
          </w:p>
        </w:tc>
        <w:tc>
          <w:tcPr>
            <w:tcW w:type="dxa" w:w="612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[DEFINE AND JUSTIFY]</w:t>
            </w:r>
          </w:p>
        </w:tc>
      </w:tr>
      <w:tr>
        <w:trPr>
          <w:cantSplit/>
        </w:trPr>
        <w:tc>
          <w:tcPr>
            <w:tcW w:type="dxa" w:w="323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Integration with other management systems</w:t>
            </w:r>
          </w:p>
        </w:tc>
        <w:tc>
          <w:tcPr>
            <w:tcW w:type="dxa" w:w="612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[ISMS / QMS / CMS / OTHER / NONE]</w:t>
            </w:r>
          </w:p>
        </w:tc>
      </w:tr>
    </w:tbl>
    <w:p>
      <w:pPr>
        <w:pStyle w:val="Heading1"/>
        <w:keepNext/>
        <w:spacing w:before="120" w:after="60" w:line="252" w:lineRule="auto"/>
      </w:pPr>
      <w:r>
        <w:rPr>
          <w:rFonts w:ascii="Cambria" w:hAnsi="Cambria" w:eastAsia="Cambria"/>
          <w:b/>
          <w:color w:val="1F4E79"/>
          <w:sz w:val="24"/>
        </w:rPr>
        <w:t>3. Context and Interested Parties</w:t>
      </w:r>
    </w:p>
    <w:p>
      <w:pPr>
        <w:spacing w:before="0" w:after="80" w:line="252" w:lineRule="auto"/>
      </w:pPr>
      <w:r>
        <w:rPr>
          <w:rFonts w:ascii="Cambria" w:hAnsi="Cambria" w:eastAsia="Cambria"/>
          <w:i w:val="0"/>
          <w:sz w:val="20"/>
        </w:rPr>
        <w:t>The PIMS context review considers business strategy, processing technologies, products/services, jurisdictional exposure, outsourcing, security dependencies, customer/client commitments, data subjects/PII principals, regulators and other parties whose requirements can affect privacy outcomes.</w:t>
      </w:r>
    </w:p>
    <w:tbl>
      <w:tblPr>
        <w:tblW w:type="auto" w:w="0"/>
        <w:jc w:val="center"/>
        <w:tblLayout w:type="fixed"/>
        <w:tblLook w:val="04A0"/>
      </w:tblPr>
      <w:tblGrid>
        <w:gridCol w:w="3118"/>
        <w:gridCol w:w="3118"/>
        <w:gridCol w:w="3118"/>
      </w:tblGrid>
      <w:tr>
        <w:trPr>
          <w:tblHeader w:val="true"/>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Interested Party</w:t>
            </w:r>
          </w:p>
        </w:tc>
        <w:tc>
          <w:tcPr>
            <w:tcW w:type="dxa" w:w="36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Typical Privacy Need / Expectation</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How Addressed</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PII principals / individuals</w:t>
            </w:r>
          </w:p>
        </w:tc>
        <w:tc>
          <w:tcPr>
            <w:tcW w:type="dxa" w:w="36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Transparent processing, appropriate handling, request mechanisms and protection from adverse privacy impacts.</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Notices; request process; privacy controls; incident handling.</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Customers / clients</w:t>
            </w:r>
          </w:p>
        </w:tc>
        <w:tc>
          <w:tcPr>
            <w:tcW w:type="dxa" w:w="36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Defined controller/processor responsibilities, instructions, security/privacy commitments and evidence.</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Contracts; governance; reporting; supplier controls.</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Regulators / authorities</w:t>
            </w:r>
          </w:p>
        </w:tc>
        <w:tc>
          <w:tcPr>
            <w:tcW w:type="dxa" w:w="36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Compliance with applicable obligations and demonstrable accountability.</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Obligations register; records; assessments; reporting as required.</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Employees / workforce</w:t>
            </w:r>
          </w:p>
        </w:tc>
        <w:tc>
          <w:tcPr>
            <w:tcW w:type="dxa" w:w="36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Clear privacy responsibilities, confidentiality, fair monitoring and role-based support.</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Policies; training; access controls; HR/privacy procedures.</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Processors / suppliers</w:t>
            </w:r>
          </w:p>
        </w:tc>
        <w:tc>
          <w:tcPr>
            <w:tcW w:type="dxa" w:w="36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Clear instructions, contractual duties, oversight, incident escalation and exit requirements.</w:t>
            </w:r>
          </w:p>
        </w:tc>
        <w:tc>
          <w:tcPr>
            <w:tcW w:type="dxa" w:w="334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Due diligence; agreements; monitoring; offboarding.</w:t>
            </w:r>
          </w:p>
        </w:tc>
      </w:tr>
    </w:tbl>
    <w:p>
      <w:pPr>
        <w:pStyle w:val="Heading1"/>
        <w:keepNext/>
        <w:spacing w:before="120" w:after="60" w:line="252" w:lineRule="auto"/>
      </w:pPr>
      <w:r>
        <w:rPr>
          <w:rFonts w:ascii="Cambria" w:hAnsi="Cambria" w:eastAsia="Cambria"/>
          <w:b/>
          <w:color w:val="1F4E79"/>
          <w:sz w:val="24"/>
        </w:rPr>
        <w:t>4. Governance and Accountability</w:t>
      </w:r>
    </w:p>
    <w:tbl>
      <w:tblPr>
        <w:tblW w:type="auto" w:w="0"/>
        <w:jc w:val="center"/>
        <w:tblLayout w:type="fixed"/>
        <w:tblLook w:val="04A0"/>
      </w:tblPr>
      <w:tblGrid>
        <w:gridCol w:w="4677"/>
        <w:gridCol w:w="4677"/>
      </w:tblGrid>
      <w:tr>
        <w:trPr>
          <w:tblHeader w:val="true"/>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Role</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PIMS Accountability</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Top Management</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 scope, policy and objectives; provide resources; review PIMS performance; resolve material privacy risks and barriers.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Privacy / PIMS Manager</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Coordinate the PIMS, privacy-risk method, processing inventory, governance calendar, monitoring, audit support and improvement.</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Business / Process Owners</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Own processing purposes, data fields, operational controls, risk actions, notices and evidence for assigned activities.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Information Security / Technology</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Implement and operate technical/security controls supporting privacy requirements and incident response.</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Legal / Compliance</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Support authoritative interpretation of applicable legal, regulatory and contractual privacy obligations.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Procurement / Supplier Management</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Embed privacy requirements in selection, contracting, oversight and exit of relevant third parties.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Internal Audit</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Provide independent assurance according to the approved audit programme.</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All Personnel</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Follow approved privacy requirements, protect PII and report suspected incidents or control failures.</w:t>
            </w:r>
          </w:p>
        </w:tc>
      </w:tr>
    </w:tbl>
    <w:p>
      <w:pPr>
        <w:pStyle w:val="Heading1"/>
        <w:keepNext/>
        <w:spacing w:before="120" w:after="60" w:line="252" w:lineRule="auto"/>
      </w:pPr>
      <w:r>
        <w:rPr>
          <w:rFonts w:ascii="Cambria" w:hAnsi="Cambria" w:eastAsia="Cambria"/>
          <w:b/>
          <w:color w:val="1F4E79"/>
          <w:sz w:val="24"/>
        </w:rPr>
        <w:t>5. Privacy Policy, Objectives and Planning</w:t>
      </w:r>
    </w:p>
    <w:p>
      <w:pPr>
        <w:spacing w:before="0" w:after="80" w:line="252" w:lineRule="auto"/>
      </w:pPr>
      <w:r>
        <w:rPr>
          <w:rFonts w:ascii="Cambria" w:hAnsi="Cambria" w:eastAsia="Cambria"/>
          <w:i w:val="0"/>
          <w:sz w:val="20"/>
        </w:rPr>
        <w:t>The organization maintains an approved privacy/PIMS policy and measurable objectives appropriate to the scope, risks and obligations. Objectives are assigned to owners, monitored using suitable indicators and reviewed when processing, risk, obligations or business priorities materially change.</w:t>
      </w:r>
    </w:p>
    <w:p>
      <w:pPr>
        <w:pStyle w:val="Heading1"/>
        <w:keepNext/>
        <w:spacing w:before="120" w:after="60" w:line="252" w:lineRule="auto"/>
      </w:pPr>
      <w:r>
        <w:rPr>
          <w:rFonts w:ascii="Cambria" w:hAnsi="Cambria" w:eastAsia="Cambria"/>
          <w:b/>
          <w:color w:val="1F4E79"/>
          <w:sz w:val="24"/>
        </w:rPr>
        <w:t>6. Privacy Risk and Opportunity Management</w:t>
      </w:r>
    </w:p>
    <w:p>
      <w:pPr>
        <w:pStyle w:val="ListBullet"/>
        <w:spacing w:before="0" w:after="50" w:line="252" w:lineRule="auto"/>
      </w:pPr>
      <w:r>
        <w:rPr>
          <w:rFonts w:ascii="Cambria" w:hAnsi="Cambria" w:eastAsia="Cambria"/>
          <w:sz w:val="20"/>
        </w:rPr>
        <w:t>Maintain a defined privacy-risk method that evaluates potential consequences to individuals/PII principals and relevant organizational impacts.</w:t>
      </w:r>
    </w:p>
    <w:p>
      <w:pPr>
        <w:pStyle w:val="ListBullet"/>
        <w:spacing w:before="0" w:after="50" w:line="252" w:lineRule="auto"/>
      </w:pPr>
      <w:r>
        <w:rPr>
          <w:rFonts w:ascii="Cambria" w:hAnsi="Cambria" w:eastAsia="Cambria"/>
          <w:sz w:val="20"/>
        </w:rPr>
        <w:t>Identify risks from new processing, material changes, technologies, suppliers, data sharing, retention, incidents and control weaknesses.</w:t>
      </w:r>
    </w:p>
    <w:p>
      <w:pPr>
        <w:pStyle w:val="ListBullet"/>
        <w:spacing w:before="0" w:after="50" w:line="252" w:lineRule="auto"/>
      </w:pPr>
      <w:r>
        <w:rPr>
          <w:rFonts w:ascii="Cambria" w:hAnsi="Cambria" w:eastAsia="Cambria"/>
          <w:sz w:val="20"/>
        </w:rPr>
        <w:t>Select proportionate treatments with accountable owners and verification evidence.</w:t>
      </w:r>
    </w:p>
    <w:p>
      <w:pPr>
        <w:pStyle w:val="ListBullet"/>
        <w:spacing w:before="0" w:after="50" w:line="252" w:lineRule="auto"/>
      </w:pPr>
      <w:r>
        <w:rPr>
          <w:rFonts w:ascii="Cambria" w:hAnsi="Cambria" w:eastAsia="Cambria"/>
          <w:sz w:val="20"/>
        </w:rPr>
        <w:t>Use privacy impact screening/assessment where required by approved internal criteria or applicable obligations.</w:t>
      </w:r>
    </w:p>
    <w:p>
      <w:pPr>
        <w:pStyle w:val="ListBullet"/>
        <w:spacing w:before="0" w:after="50" w:line="252" w:lineRule="auto"/>
      </w:pPr>
      <w:r>
        <w:rPr>
          <w:rFonts w:ascii="Cambria" w:hAnsi="Cambria" w:eastAsia="Cambria"/>
          <w:sz w:val="20"/>
        </w:rPr>
        <w:t>Track privacy opportunities such as data minimization, de-identification, improved transparency, process simplification and better request automation.</w:t>
      </w:r>
    </w:p>
    <w:p>
      <w:pPr>
        <w:pStyle w:val="Heading1"/>
        <w:keepNext/>
        <w:spacing w:before="120" w:after="60" w:line="252" w:lineRule="auto"/>
      </w:pPr>
      <w:r>
        <w:rPr>
          <w:rFonts w:ascii="Cambria" w:hAnsi="Cambria" w:eastAsia="Cambria"/>
          <w:b/>
          <w:color w:val="1F4E79"/>
          <w:sz w:val="24"/>
        </w:rPr>
        <w:t>7. PII Processing Governance</w:t>
      </w:r>
    </w:p>
    <w:tbl>
      <w:tblPr>
        <w:tblW w:type="auto" w:w="0"/>
        <w:jc w:val="center"/>
        <w:tblLayout w:type="fixed"/>
        <w:tblLook w:val="04A0"/>
      </w:tblPr>
      <w:tblGrid>
        <w:gridCol w:w="4677"/>
        <w:gridCol w:w="4677"/>
      </w:tblGrid>
      <w:tr>
        <w:trPr>
          <w:tblHeader w:val="true"/>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Lifecycle / Control Area</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PIMS Management Requirement</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Inventory and Role Determination</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Maintain material processing records and document controller/processor or other relevant roles and responsibilities.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Collection and Purpose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Define approved purposes, necessary PII, sources and collection methods.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Transparency and Choice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Maintain accurate notices and, where applicable, consent/choice mechanisms and evidence.</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Use and Access</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Limit use and access to approved purposes, authority and job need; review privileged/high-risk access.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Accuracy and Correction</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Support appropriate PII quality and correction mechanisms based on processing purpose and risk.</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Requests from PII Principals</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Receive, validate, route, decide, respond and retain evidence for applicable requests.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Sharing / Disclosure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Authorize recipients and document purpose, responsibilities and appropriate safeguards.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International / Remote Access</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Identify cross-border/location requirements and retain approved assessment/mechanism evidence where applicable.</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Retention / Disposal</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Define retention from verified obligations and business need; perform controlled deletion/disposal and retain evidence where required.</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De-identification / Anonymization</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Use approved methods where appropriate and assess re-identification or linkage risk where relevant.</w:t>
            </w:r>
          </w:p>
        </w:tc>
      </w:tr>
    </w:tbl>
    <w:p>
      <w:pPr>
        <w:pStyle w:val="Heading1"/>
        <w:keepNext/>
        <w:spacing w:before="120" w:after="60" w:line="252" w:lineRule="auto"/>
      </w:pPr>
      <w:r>
        <w:rPr>
          <w:rFonts w:ascii="Cambria" w:hAnsi="Cambria" w:eastAsia="Cambria"/>
          <w:b/>
          <w:color w:val="1F4E79"/>
          <w:sz w:val="24"/>
        </w:rPr>
        <w:t>8. Controller and Processor Responsibilities</w:t>
      </w:r>
    </w:p>
    <w:p>
      <w:pPr>
        <w:spacing w:before="0" w:after="80" w:line="252" w:lineRule="auto"/>
      </w:pPr>
      <w:r>
        <w:rPr>
          <w:rFonts w:ascii="Cambria" w:hAnsi="Cambria" w:eastAsia="Cambria"/>
          <w:i w:val="0"/>
          <w:sz w:val="20"/>
        </w:rPr>
        <w:t>For each material service or processing activity, the organization identifies its privacy role and applies the relevant responsibilities. Where acting as a processor, processing instructions, confidentiality, assistance, sub-processor controls, security/privacy incident escalation, return/deletion and audit/evidence arrangements are documented. Where acting as a controller, purpose, transparency, request handling, risk decisions and accountability are owned and evidenced.</w:t>
      </w:r>
    </w:p>
    <w:p>
      <w:pPr>
        <w:pStyle w:val="Heading1"/>
        <w:keepNext/>
        <w:spacing w:before="120" w:after="60" w:line="252" w:lineRule="auto"/>
      </w:pPr>
      <w:r>
        <w:rPr>
          <w:rFonts w:ascii="Cambria" w:hAnsi="Cambria" w:eastAsia="Cambria"/>
          <w:b/>
          <w:color w:val="1F4E79"/>
          <w:sz w:val="24"/>
        </w:rPr>
        <w:t>9. Privacy by Design and Change Management</w:t>
      </w:r>
    </w:p>
    <w:p>
      <w:pPr>
        <w:pStyle w:val="ListBullet"/>
        <w:spacing w:before="0" w:after="50" w:line="252" w:lineRule="auto"/>
      </w:pPr>
      <w:r>
        <w:rPr>
          <w:rFonts w:ascii="Cambria" w:hAnsi="Cambria" w:eastAsia="Cambria"/>
          <w:sz w:val="20"/>
        </w:rPr>
        <w:t>Screen projects and changes for PII processing and privacy risk early enough to influence design.</w:t>
      </w:r>
    </w:p>
    <w:p>
      <w:pPr>
        <w:pStyle w:val="ListBullet"/>
        <w:spacing w:before="0" w:after="50" w:line="252" w:lineRule="auto"/>
      </w:pPr>
      <w:r>
        <w:rPr>
          <w:rFonts w:ascii="Cambria" w:hAnsi="Cambria" w:eastAsia="Cambria"/>
          <w:sz w:val="20"/>
        </w:rPr>
        <w:t>Document privacy requirements, data minimization, access, retention, notices, sharing and security needs before production release.</w:t>
      </w:r>
    </w:p>
    <w:p>
      <w:pPr>
        <w:pStyle w:val="ListBullet"/>
        <w:spacing w:before="0" w:after="50" w:line="252" w:lineRule="auto"/>
      </w:pPr>
      <w:r>
        <w:rPr>
          <w:rFonts w:ascii="Cambria" w:hAnsi="Cambria" w:eastAsia="Cambria"/>
          <w:sz w:val="20"/>
        </w:rPr>
        <w:t>Use approval gates for unresolved high-risk privacy issues or documented exceptions.</w:t>
      </w:r>
    </w:p>
    <w:p>
      <w:pPr>
        <w:pStyle w:val="ListBullet"/>
        <w:spacing w:before="0" w:after="50" w:line="252" w:lineRule="auto"/>
      </w:pPr>
      <w:r>
        <w:rPr>
          <w:rFonts w:ascii="Cambria" w:hAnsi="Cambria" w:eastAsia="Cambria"/>
          <w:sz w:val="20"/>
        </w:rPr>
        <w:t>Reassess processing when purpose, data category, technology, supplier, jurisdiction, recipient or scale materially changes.</w:t>
      </w:r>
    </w:p>
    <w:p>
      <w:pPr>
        <w:pStyle w:val="Heading1"/>
        <w:keepNext/>
        <w:spacing w:before="120" w:after="60" w:line="252" w:lineRule="auto"/>
      </w:pPr>
      <w:r>
        <w:rPr>
          <w:rFonts w:ascii="Cambria" w:hAnsi="Cambria" w:eastAsia="Cambria"/>
          <w:b/>
          <w:color w:val="1F4E79"/>
          <w:sz w:val="24"/>
        </w:rPr>
        <w:t>10. Third Parties, Processors and Supply Chain</w:t>
      </w:r>
    </w:p>
    <w:p>
      <w:pPr>
        <w:spacing w:before="0" w:after="80" w:line="252" w:lineRule="auto"/>
      </w:pPr>
      <w:r>
        <w:rPr>
          <w:rFonts w:ascii="Cambria" w:hAnsi="Cambria" w:eastAsia="Cambria"/>
          <w:i w:val="0"/>
          <w:sz w:val="20"/>
        </w:rPr>
        <w:t>Relevant third parties are risk-screened before engagement and governed through approved requirements, contracts, instructions, security/privacy expectations, incident notification, sub-processor arrangements, monitoring, changes and exit/offboarding. Evidence requirements are proportionate to privacy risk.</w:t>
      </w:r>
    </w:p>
    <w:p>
      <w:pPr>
        <w:pStyle w:val="Heading1"/>
        <w:keepNext/>
        <w:spacing w:before="120" w:after="60" w:line="252" w:lineRule="auto"/>
      </w:pPr>
      <w:r>
        <w:rPr>
          <w:rFonts w:ascii="Cambria" w:hAnsi="Cambria" w:eastAsia="Cambria"/>
          <w:b/>
          <w:color w:val="1F4E79"/>
          <w:sz w:val="24"/>
        </w:rPr>
        <w:t>11. Privacy Incidents and Breaches</w:t>
      </w:r>
    </w:p>
    <w:p>
      <w:pPr>
        <w:spacing w:before="0" w:after="80" w:line="252" w:lineRule="auto"/>
      </w:pPr>
      <w:r>
        <w:rPr>
          <w:rFonts w:ascii="Cambria" w:hAnsi="Cambria" w:eastAsia="Cambria"/>
          <w:i w:val="0"/>
          <w:sz w:val="20"/>
        </w:rPr>
        <w:t>Suspected privacy incidents are reported promptly, triaged, contained, investigated and documented. The organization assesses affected PII, individuals, systems, recipients, duration, control failures and potential consequences. Notification decisions and deadlines are determined from verified applicable requirements; decisions and evidence are retained.</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Do not embed a universal breach-notification deadline in the PIMS unless it is verified for the applicable jurisdiction, regulator, contract and incident context.</w:t>
            </w:r>
          </w:p>
        </w:tc>
      </w:tr>
    </w:tbl>
    <w:p>
      <w:pPr>
        <w:spacing w:after="20"/>
      </w:pPr>
    </w:p>
    <w:p>
      <w:pPr>
        <w:pStyle w:val="Heading1"/>
        <w:keepNext/>
        <w:spacing w:before="120" w:after="60" w:line="252" w:lineRule="auto"/>
      </w:pPr>
      <w:r>
        <w:rPr>
          <w:rFonts w:ascii="Cambria" w:hAnsi="Cambria" w:eastAsia="Cambria"/>
          <w:b/>
          <w:color w:val="1F4E79"/>
          <w:sz w:val="24"/>
        </w:rPr>
        <w:t>12. Support: Resources, Competence, Awareness and Communication</w:t>
      </w:r>
    </w:p>
    <w:p>
      <w:pPr>
        <w:spacing w:before="0" w:after="80" w:line="252" w:lineRule="auto"/>
      </w:pPr>
      <w:r>
        <w:rPr>
          <w:rFonts w:ascii="Cambria" w:hAnsi="Cambria" w:eastAsia="Cambria"/>
          <w:i w:val="0"/>
          <w:sz w:val="20"/>
        </w:rPr>
        <w:t>The organization provides suitable resources, role competence, privacy awareness, specialist support, controlled communications and documented information. Training and awareness are risk-based and refreshed after material changes, incidents, role changes or observed control failures where appropriate.</w:t>
      </w:r>
    </w:p>
    <w:p>
      <w:pPr>
        <w:pStyle w:val="Heading1"/>
        <w:keepNext/>
        <w:spacing w:before="120" w:after="60" w:line="252" w:lineRule="auto"/>
      </w:pPr>
      <w:r>
        <w:rPr>
          <w:rFonts w:ascii="Cambria" w:hAnsi="Cambria" w:eastAsia="Cambria"/>
          <w:b/>
          <w:color w:val="1F4E79"/>
          <w:sz w:val="24"/>
        </w:rPr>
        <w:t>13. Monitoring and Performance Evaluation</w:t>
      </w:r>
    </w:p>
    <w:tbl>
      <w:tblPr>
        <w:tblW w:type="auto" w:w="0"/>
        <w:jc w:val="center"/>
        <w:tblLayout w:type="fixed"/>
        <w:tblLook w:val="04A0"/>
      </w:tblPr>
      <w:tblGrid>
        <w:gridCol w:w="4677"/>
        <w:gridCol w:w="4677"/>
      </w:tblGrid>
      <w:tr>
        <w:trPr>
          <w:tblHeader w:val="true"/>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Monitoring Area</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Example Measures / Evidence</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Processing governance</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Inventory completion / owner attestation / overdue reviews.</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Requests</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Volume, aging, timeliness, identity-verification exceptions and quality rework.</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Privacy risk</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Open high-risk actions, impact assessments completed, overdue treatments.</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Incidents</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Incident trends, containment time, recurring causes, notification decision quality.</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Suppliers</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Due diligence completion, contractual gaps, high-risk issues and exit evidence.</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Awareness / competence</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Completion, role-based competence and targeted remediation.</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Assurance</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findings, corrective-action aging and verified effectiveness.</w:t>
            </w:r>
          </w:p>
        </w:tc>
      </w:tr>
    </w:tbl>
    <w:p>
      <w:pPr>
        <w:pStyle w:val="Heading1"/>
        <w:keepNext/>
        <w:spacing w:before="120" w:after="60" w:line="252" w:lineRule="auto"/>
      </w:pPr>
      <w:r>
        <w:rPr>
          <w:rFonts w:ascii="Cambria" w:hAnsi="Cambria" w:eastAsia="Cambria"/>
          <w:b/>
          <w:color w:val="1F4E79"/>
          <w:sz w:val="24"/>
        </w:rPr>
        <w:t>14. Internal Audit and Management Review</w:t>
      </w:r>
    </w:p>
    <w:p>
      <w:pPr>
        <w:spacing w:before="0" w:after="80" w:line="252" w:lineRule="auto"/>
      </w:pPr>
      <w:r>
        <w:rPr>
          <w:rFonts w:ascii="Cambria" w:hAnsi="Cambria" w:eastAsia="Cambria"/>
          <w:i w:val="0"/>
          <w:sz w:val="20"/>
        </w:rPr>
        <w:t>Internal audits provide independent, risk-based assurance across PIMS governance and operational controls. Top management reviews PIMS suitability, adequacy and effectiveness using relevant changes, objectives, performance, risks, incidents, requests, suppliers, audit results, corrective actions, resource needs and improvement opportunities.</w:t>
      </w:r>
    </w:p>
    <w:p>
      <w:pPr>
        <w:pStyle w:val="Heading1"/>
        <w:keepNext/>
        <w:spacing w:before="120" w:after="60" w:line="252" w:lineRule="auto"/>
      </w:pPr>
      <w:r>
        <w:rPr>
          <w:rFonts w:ascii="Cambria" w:hAnsi="Cambria" w:eastAsia="Cambria"/>
          <w:b/>
          <w:color w:val="1F4E79"/>
          <w:sz w:val="24"/>
        </w:rPr>
        <w:t>15. Nonconformity and Continual Improvement</w:t>
      </w:r>
    </w:p>
    <w:p>
      <w:pPr>
        <w:spacing w:before="0" w:after="80" w:line="252" w:lineRule="auto"/>
      </w:pPr>
      <w:r>
        <w:rPr>
          <w:rFonts w:ascii="Cambria" w:hAnsi="Cambria" w:eastAsia="Cambria"/>
          <w:i w:val="0"/>
          <w:sz w:val="20"/>
        </w:rPr>
        <w:t>Material PIMS nonconformities are corrected, causes are evaluated where appropriate, actions are assigned and effectiveness is verified before closure when risk justifies it. Improvement opportunities may arise from complaints, requests, privacy engineering, incident learning, audits, risk reviews, supplier reviews and management decisions.</w:t>
      </w:r>
    </w:p>
    <w:p>
      <w:pPr>
        <w:pStyle w:val="Heading1"/>
        <w:keepNext/>
        <w:spacing w:before="120" w:after="60" w:line="252" w:lineRule="auto"/>
      </w:pPr>
      <w:r>
        <w:rPr>
          <w:rFonts w:ascii="Cambria" w:hAnsi="Cambria" w:eastAsia="Cambria"/>
          <w:b/>
          <w:color w:val="1F4E79"/>
          <w:sz w:val="24"/>
        </w:rPr>
        <w:t>16. PIMS Document Architecture</w:t>
      </w:r>
    </w:p>
    <w:tbl>
      <w:tblPr>
        <w:tblW w:type="auto" w:w="0"/>
        <w:jc w:val="center"/>
        <w:tblLayout w:type="fixed"/>
        <w:tblLook w:val="04A0"/>
      </w:tblPr>
      <w:tblGrid>
        <w:gridCol w:w="4677"/>
        <w:gridCol w:w="4677"/>
      </w:tblGrid>
      <w:tr>
        <w:trPr>
          <w:tblHeader w:val="true"/>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Document Layer</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Typical Controlled Information</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Governance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PIMS scope, privacy policy, manual, objectives and governance charters.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Operational Procedures</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Processing inventory, request handling, privacy risk, impact assessment, incident/breach, retention, supplier privacy and privacy by design.</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Monitoring and Assurance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KPI register, audit programme, audit reports, management review, risk/action trackers and supplier reviews.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Records / Evidence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Processing records, notices, request cases, approvals, impact assessments, contracts, access reviews, incident records, training, audits and actions.</w:t>
            </w:r>
          </w:p>
        </w:tc>
      </w:tr>
    </w:tbl>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Reference</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Use in this document</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Source / Location</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ISO/IEC 27701:2025</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information management systems — requirements and guidance. Current published Edition 2; standalone PIMS management system standard.</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https://www.iso.org/standard/27701.html</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ISO/IEC 27001:2022</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Information security management systems — requirements. Relevant where the PIMS is integrated with an ISMS.</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https://www.iso.org/standard/27001.html</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Organization privacy documentation</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privacy obligations, PII processing inventory, privacy notices, contracts, risk assessments, procedures, incidents, requests and monitoring evidence.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 SOURCE / REPOSITORY]</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Privacy / PIMS Manager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Privacy Management Manual</w:t>
          </w:r>
        </w:p>
      </w:tc>
      <w:tc>
        <w:tcPr>
          <w:tcW w:type="dxa" w:w="2324"/>
          <w:tcMar>
            <w:top w:w="20" w:type="dxa"/>
            <w:left w:w="40" w:type="dxa"/>
            <w:bottom w:w="20" w:type="dxa"/>
            <w:right w:w="40" w:type="dxa"/>
          </w:tcMar>
        </w:tcPr>
        <w:p>
          <w:pPr>
            <w:jc w:val="right"/>
          </w:pPr>
          <w:r>
            <w:rPr>
              <w:rFonts w:ascii="Cambria" w:hAnsi="Cambria" w:eastAsia="Cambria"/>
              <w:b/>
              <w:color w:val="666666"/>
              <w:sz w:val="16"/>
            </w:rPr>
            <w:t>PIMS-MAN-001</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