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body>
    <w:p>
      <w:pPr>
        <w:spacing w:before="60" w:after="80"/>
        <w:pBdr>
          <w:bottom w:val="single" w:sz="8" w:color="1F4E79" w:space="4"/>
        </w:pBdr>
      </w:pPr>
      <w:r>
        <w:rPr>
          <w:rFonts w:ascii="Cambria" w:hAnsi="Cambria" w:eastAsia="Cambria"/>
          <w:b/>
          <w:color w:val="1F4E79"/>
          <w:sz w:val="40"/>
        </w:rPr>
        <w:t>INTERNAL PRIVACY AUDIT REPORT</w:t>
      </w:r>
    </w:p>
    <w:p>
      <w:pPr>
        <w:spacing w:after="120"/>
      </w:pPr>
      <w:r>
        <w:rPr>
          <w:rFonts w:ascii="Cambria" w:hAnsi="Cambria" w:eastAsia="Cambria"/>
          <w:b/>
          <w:sz w:val="23"/>
        </w:rPr>
        <w:t>ISO/IEC 27701:2025</w:t>
      </w:r>
    </w:p>
    <w:tbl>
      <w:tblPr>
        <w:tblW w:type="auto" w:w="0"/>
        <w:jc w:val="center"/>
        <w:tblLayout w:type="fixed"/>
        <w:tblLook w:val="04A0"/>
      </w:tblPr>
      <w:tblGrid>
        <w:gridCol w:w="4677"/>
        <w:gridCol w:w="4677"/>
      </w:tblGrid>
      <w:tr>
        <w:trPr>
          <w:tblHeader w:val="true"/>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Document Owner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8"/>
              </w:rPr>
              <w:t>Approver</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Lead Privacy Auditor</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Audit Programme Owner / Authorized Management</w:t>
            </w:r>
          </w:p>
        </w:tc>
      </w:tr>
      <w:tr>
        <w:trPr>
          <w:cantSplit/>
        </w:trPr>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Classification: INTERNAL</w:t>
            </w:r>
          </w:p>
        </w:tc>
        <w:tc>
          <w:tcPr>
            <w:tcW w:type="dxa" w:w="464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8"/>
              </w:rPr>
              <w:t>Next Review: 2027-09-18</w:t>
            </w:r>
          </w:p>
        </w:tc>
      </w:tr>
    </w:tbl>
    <w:p>
      <w:pPr>
        <w:spacing w:after="40"/>
      </w:pPr>
    </w:p>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The five findings below are Illustrative Data only and do not describe an actual organization. Replace or delete them before controlled use. Limit report content to the minimum PII necessary to support audit conclusions.</w:t>
            </w:r>
          </w:p>
        </w:tc>
      </w:tr>
    </w:tbl>
    <w:p>
      <w:pPr>
        <w:spacing w:after="20"/>
      </w:pPr>
    </w:p>
    <w:p>
      <w:pPr>
        <w:pStyle w:val="Heading1"/>
        <w:keepNext/>
        <w:spacing w:before="120" w:after="60" w:line="252" w:lineRule="auto"/>
      </w:pPr>
      <w:r>
        <w:rPr>
          <w:rFonts w:ascii="Cambria" w:hAnsi="Cambria" w:eastAsia="Cambria"/>
          <w:b/>
          <w:color w:val="1F4E79"/>
          <w:sz w:val="24"/>
        </w:rPr>
        <w:t>1. Audit Identification</w:t>
      </w:r>
    </w:p>
    <w:tbl>
      <w:tblPr>
        <w:tblW w:type="auto" w:w="0"/>
        <w:jc w:val="center"/>
        <w:tblLayout w:type="fixed"/>
        <w:tblLook w:val="04A0"/>
      </w:tblPr>
      <w:tblGrid>
        <w:gridCol w:w="2339"/>
        <w:gridCol w:w="2339"/>
        <w:gridCol w:w="2339"/>
        <w:gridCol w:w="2339"/>
      </w:tblGrid>
      <w:tr>
        <w:trPr>
          <w:tblHeader w:val="true"/>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Field</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Entry</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Field</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Entry</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[ORGANIZATION NAME]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Reference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[PIMS-AUD-YYYY-###]</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Date(s)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[YYYY-MM-DD]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Lead Auditor</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[ROLE / NAME]</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Audited Area / Process</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Locations / Systems</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Objective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Scope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[DEFINE]</w:t>
            </w:r>
          </w:p>
        </w:tc>
      </w:tr>
      <w:tr>
        <w:trPr>
          <w:cantSplit/>
        </w:trPr>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Criteria</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ISO/IEC 27701:2025 + approved internal privacy criteria</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 Team</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[NAMES / ROLES]</w:t>
            </w:r>
          </w:p>
        </w:tc>
      </w:tr>
    </w:tbl>
    <w:p>
      <w:pPr>
        <w:pStyle w:val="Heading1"/>
        <w:keepNext/>
        <w:spacing w:before="120" w:after="60" w:line="252" w:lineRule="auto"/>
      </w:pPr>
      <w:r>
        <w:rPr>
          <w:rFonts w:ascii="Cambria" w:hAnsi="Cambria" w:eastAsia="Cambria"/>
          <w:b/>
          <w:color w:val="1F4E79"/>
          <w:sz w:val="24"/>
        </w:rPr>
        <w:t>2. Executive Summary</w:t>
      </w:r>
    </w:p>
    <w:tbl>
      <w:tblPr>
        <w:tblW w:type="auto" w:w="0"/>
        <w:jc w:val="center"/>
        <w:tblLayout w:type="fixed"/>
        <w:tblLook w:val="04A0"/>
      </w:tblPr>
      <w:tblGrid>
        <w:gridCol w:w="4677"/>
        <w:gridCol w:w="4677"/>
      </w:tblGrid>
      <w:tr>
        <w:trPr>
          <w:tblHeader w:val="true"/>
        </w:trPr>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Summary Field</w:t>
            </w:r>
          </w:p>
        </w:tc>
        <w:tc>
          <w:tcPr>
            <w:tcW w:type="dxa" w:w="58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Entry</w:t>
            </w:r>
          </w:p>
        </w:tc>
      </w:tr>
      <w:tr>
        <w:trPr>
          <w:cantSplit/>
        </w:trPr>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Overall Conclusion</w:t>
            </w:r>
          </w:p>
        </w:tc>
        <w:tc>
          <w:tcPr>
            <w:tcW w:type="dxa" w:w="58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[CONFORMING / PARTIALLY CONFORMING / NONCONFORMING / OTHER APPROVED CONCLUSION]</w:t>
            </w:r>
          </w:p>
        </w:tc>
      </w:tr>
      <w:tr>
        <w:trPr>
          <w:cantSplit/>
        </w:trPr>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Major / High-Risk Findings</w:t>
            </w:r>
          </w:p>
        </w:tc>
        <w:tc>
          <w:tcPr>
            <w:tcW w:type="dxa" w:w="58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[COUNT / SUMMARY]</w:t>
            </w:r>
          </w:p>
        </w:tc>
      </w:tr>
      <w:tr>
        <w:trPr>
          <w:cantSplit/>
        </w:trPr>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Positive Practices</w:t>
            </w:r>
          </w:p>
        </w:tc>
        <w:tc>
          <w:tcPr>
            <w:tcW w:type="dxa" w:w="58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[SUMMARY]</w:t>
            </w:r>
          </w:p>
        </w:tc>
      </w:tr>
      <w:tr>
        <w:trPr>
          <w:cantSplit/>
        </w:trPr>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Material Privacy Risks Requiring Escalation</w:t>
            </w:r>
          </w:p>
        </w:tc>
        <w:tc>
          <w:tcPr>
            <w:tcW w:type="dxa" w:w="58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[SUMMARY / NONE]</w:t>
            </w:r>
          </w:p>
        </w:tc>
      </w:tr>
      <w:tr>
        <w:trPr>
          <w:cantSplit/>
        </w:trPr>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Limitations</w:t>
            </w:r>
          </w:p>
        </w:tc>
        <w:tc>
          <w:tcPr>
            <w:tcW w:type="dxa" w:w="58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[SUMMARY / NONE]</w:t>
            </w:r>
          </w:p>
        </w:tc>
      </w:tr>
      <w:tr>
        <w:trPr>
          <w:cantSplit/>
        </w:trPr>
        <w:tc>
          <w:tcPr>
            <w:tcW w:type="dxa" w:w="351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Management Attention Required</w:t>
            </w:r>
          </w:p>
        </w:tc>
        <w:tc>
          <w:tcPr>
            <w:tcW w:type="dxa" w:w="583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[SUMMARY]</w:t>
            </w:r>
          </w:p>
        </w:tc>
      </w:tr>
    </w:tbl>
    <w:p>
      <w:pPr>
        <w:pStyle w:val="Heading1"/>
        <w:keepNext/>
        <w:spacing w:before="120" w:after="60" w:line="252" w:lineRule="auto"/>
      </w:pPr>
      <w:r>
        <w:rPr>
          <w:rFonts w:ascii="Cambria" w:hAnsi="Cambria" w:eastAsia="Cambria"/>
          <w:b/>
          <w:color w:val="1F4E79"/>
          <w:sz w:val="24"/>
        </w:rPr>
        <w:t>3. Scope, Criteria and Method</w:t>
      </w:r>
    </w:p>
    <w:p>
      <w:pPr>
        <w:spacing w:before="0" w:after="80" w:line="252" w:lineRule="auto"/>
      </w:pPr>
      <w:r>
        <w:rPr>
          <w:rFonts w:ascii="Cambria" w:hAnsi="Cambria" w:eastAsia="Cambria"/>
          <w:i w:val="0"/>
          <w:sz w:val="20"/>
        </w:rPr>
        <w:t>Document the audited processing activities, entities, locations, systems, controller/processor roles, period, exclusions, sampling approach and approved criteria. Identify any scope limitations that could affect confidence in the conclusion.</w:t>
      </w:r>
    </w:p>
    <w:p>
      <w:pPr>
        <w:pStyle w:val="Heading1"/>
        <w:keepNext/>
        <w:spacing w:before="120" w:after="60" w:line="252" w:lineRule="auto"/>
      </w:pPr>
      <w:r>
        <w:rPr>
          <w:rFonts w:ascii="Cambria" w:hAnsi="Cambria" w:eastAsia="Cambria"/>
          <w:b/>
          <w:color w:val="1F4E79"/>
          <w:sz w:val="24"/>
        </w:rPr>
        <w:t>4. Audit Findings Register</w:t>
      </w:r>
    </w:p>
    <w:tbl>
      <w:tblPr>
        <w:tblW w:type="auto" w:w="0"/>
        <w:jc w:val="center"/>
        <w:tblLayout w:type="fixed"/>
        <w:tblLook w:val="04A0"/>
      </w:tblPr>
      <w:tblGrid>
        <w:gridCol w:w="1039"/>
        <w:gridCol w:w="1039"/>
        <w:gridCol w:w="1039"/>
        <w:gridCol w:w="1039"/>
        <w:gridCol w:w="1039"/>
        <w:gridCol w:w="1039"/>
        <w:gridCol w:w="1039"/>
        <w:gridCol w:w="1039"/>
        <w:gridCol w:w="1039"/>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Data Type</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Finding ID</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Area</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Classification</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Risk</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Finding Statement</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Objective Evidence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Owner / Due Date</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4"/>
              </w:rPr>
              <w:t>Status</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EX-PIMS-F-001</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Processing Inventory</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Minor NC</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 sampled newly acquired service processes customer identifiers but is not present in the central processing inventory.</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Acquisition service catalogue; sample architecture and owner interview</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Operations Lead | 2026-10-31</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EX-PIMS-F-002</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Privacy Impact Screening</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OFI</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Medium</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Project privacy screening operates for new projects; extending the same trigger to material legacy changes would improve consistency.</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Project gate records; change-management sample</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PMO + Privacy | 2026-12-15</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In Progress</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EX-PIMS-F-003</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PII Principal Requests</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Conforming</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Low</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Sampled privacy request cases are traceable, identity validation is evidenced and closure approvals are complete.</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Five anonymized case-reference samples; workflow reports</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No Action</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EX-PIMS-F-004</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Processor Oversight</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Minor NC</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Two sampled legacy processor files do not demonstrate current sub-processor transparency evidence required by the approved supplier privacy standard.</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Supplier files; contract annex; monitoring record</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Procurement Privacy Lead | 2026-11-30</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Illustrative Data</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EX-PIMS-F-005</w:t>
            </w:r>
          </w:p>
        </w:tc>
        <w:tc>
          <w:tcPr>
            <w:tcW w:type="dxa" w:w="175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Retention / Disposal</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Major NC</w:t>
            </w:r>
          </w:p>
        </w:tc>
        <w:tc>
          <w:tcPr>
            <w:tcW w:type="dxa" w:w="90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High</w:t>
            </w:r>
          </w:p>
        </w:tc>
        <w:tc>
          <w:tcPr>
            <w:tcW w:type="dxa" w:w="30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A sampled export repository contains closed-account PII beyond the approved internal retention rule and no approved exception is recorded.</w:t>
            </w:r>
          </w:p>
        </w:tc>
        <w:tc>
          <w:tcPr>
            <w:tcW w:type="dxa" w:w="272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Retention schedule; repository sample; owner interview</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Data Owner + IT | 2026-09-30</w:t>
            </w:r>
          </w:p>
        </w:tc>
        <w:tc>
          <w:tcPr>
            <w:tcW w:type="dxa" w:w="124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FFF9E6" w:val="clear"/>
            <w:tcMar>
              <w:top w:w="80" w:type="dxa"/>
              <w:left w:w="90" w:type="dxa"/>
              <w:bottom w:w="80" w:type="dxa"/>
              <w:right w:w="90" w:type="dxa"/>
            </w:tcMar>
            <w:vAlign w:val="top"/>
          </w:tcPr>
          <w:p>
            <w:pPr>
              <w:spacing w:before="0" w:after="0" w:line="252" w:lineRule="auto"/>
            </w:pPr>
            <w:r/>
            <w:r>
              <w:rPr>
                <w:rFonts w:ascii="Cambria" w:hAnsi="Cambria" w:eastAsia="Cambria"/>
                <w:color w:val="000000"/>
                <w:sz w:val="14"/>
              </w:rPr>
              <w:t>Open</w:t>
            </w:r>
          </w:p>
        </w:tc>
      </w:tr>
    </w:tbl>
    <w:p>
      <w:pPr>
        <w:pStyle w:val="Heading1"/>
        <w:keepNext/>
        <w:spacing w:before="120" w:after="60" w:line="252" w:lineRule="auto"/>
      </w:pPr>
      <w:r>
        <w:rPr>
          <w:rFonts w:ascii="Cambria" w:hAnsi="Cambria" w:eastAsia="Cambria"/>
          <w:b/>
          <w:color w:val="1F4E79"/>
          <w:sz w:val="24"/>
        </w:rPr>
        <w:t>5. Positive Practices and Observations</w:t>
      </w:r>
    </w:p>
    <w:tbl>
      <w:tblPr>
        <w:tblW w:type="auto" w:w="0"/>
        <w:jc w:val="center"/>
        <w:tblLayout w:type="fixed"/>
        <w:tblLook w:val="04A0"/>
      </w:tblPr>
      <w:tblGrid>
        <w:gridCol w:w="3118"/>
        <w:gridCol w:w="3118"/>
        <w:gridCol w:w="3118"/>
      </w:tblGrid>
      <w:tr>
        <w:trPr>
          <w:tblHeader w:val="true"/>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Type</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Area</w:t>
            </w:r>
          </w:p>
        </w:tc>
        <w:tc>
          <w:tcPr>
            <w:tcW w:type="dxa" w:w="498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Observation / Evidence</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[POSITIVE PRACTICE]</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[AREA]</w:t>
            </w:r>
          </w:p>
        </w:tc>
        <w:tc>
          <w:tcPr>
            <w:tcW w:type="dxa" w:w="498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[DESCRIBE]</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[OBSERVATION / OFI]</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[AREA]</w:t>
            </w:r>
          </w:p>
        </w:tc>
        <w:tc>
          <w:tcPr>
            <w:tcW w:type="dxa" w:w="498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[DESCRIBE]</w:t>
            </w:r>
          </w:p>
        </w:tc>
      </w:tr>
      <w:tr>
        <w:trPr>
          <w:cantSplit/>
        </w:trPr>
        <w:tc>
          <w:tcPr>
            <w:tcW w:type="dxa" w:w="198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[EVIDENCE LIMITATION]</w:t>
            </w:r>
          </w:p>
        </w:tc>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[AREA]</w:t>
            </w:r>
          </w:p>
        </w:tc>
        <w:tc>
          <w:tcPr>
            <w:tcW w:type="dxa" w:w="498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[DESCRIBE IMPACT ON AUDIT CONCLUSION]</w:t>
            </w:r>
          </w:p>
        </w:tc>
      </w:tr>
    </w:tbl>
    <w:p>
      <w:pPr>
        <w:pStyle w:val="Heading1"/>
        <w:keepNext/>
        <w:spacing w:before="120" w:after="60" w:line="252" w:lineRule="auto"/>
      </w:pPr>
      <w:r>
        <w:rPr>
          <w:rFonts w:ascii="Cambria" w:hAnsi="Cambria" w:eastAsia="Cambria"/>
          <w:b/>
          <w:color w:val="1F4E79"/>
          <w:sz w:val="24"/>
        </w:rPr>
        <w:t>6. Corrective Action and Follow-Up Summary</w:t>
      </w:r>
    </w:p>
    <w:tbl>
      <w:tblPr>
        <w:tblW w:type="auto" w:w="0"/>
        <w:jc w:val="center"/>
        <w:tblLayout w:type="fixed"/>
        <w:tblLook w:val="04A0"/>
      </w:tblPr>
      <w:tblGrid>
        <w:gridCol w:w="1559"/>
        <w:gridCol w:w="1559"/>
        <w:gridCol w:w="1559"/>
        <w:gridCol w:w="1559"/>
        <w:gridCol w:w="1559"/>
        <w:gridCol w:w="1559"/>
      </w:tblGrid>
      <w:tr>
        <w:trPr>
          <w:tblHeader w:val="true"/>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Finding ID</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Action Owner</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Agreed Action / Deliverable</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Due Date</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Verification Method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Closure Status</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[ID]</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[ROLE]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[ACTION]</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[YYYY-MM-DD]</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[IMPLEMENTATION / SAMPLE / TREND / APPROVAL]</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[OPEN / CLOSED]</w:t>
            </w:r>
          </w:p>
        </w:tc>
      </w:tr>
      <w:tr>
        <w:trPr>
          <w:cantSplit/>
        </w:trPr>
        <w:tc>
          <w:tcPr>
            <w:tcW w:type="dxa" w:w="130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[ID]</w:t>
            </w:r>
          </w:p>
        </w:tc>
        <w:tc>
          <w:tcPr>
            <w:tcW w:type="dxa" w:w="170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[ROLE]</w:t>
            </w:r>
          </w:p>
        </w:tc>
        <w:tc>
          <w:tcPr>
            <w:tcW w:type="dxa" w:w="283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[ACTION]</w:t>
            </w:r>
          </w:p>
        </w:tc>
        <w:tc>
          <w:tcPr>
            <w:tcW w:type="dxa" w:w="136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[YYYY-MM-DD]</w:t>
            </w:r>
          </w:p>
        </w:tc>
        <w:tc>
          <w:tcPr>
            <w:tcW w:type="dxa" w:w="255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[METHOD]</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[STATUS]</w:t>
            </w:r>
          </w:p>
        </w:tc>
      </w:tr>
    </w:tbl>
    <w:p>
      <w:pPr>
        <w:pStyle w:val="Heading1"/>
        <w:keepNext/>
        <w:spacing w:before="120" w:after="60" w:line="252" w:lineRule="auto"/>
      </w:pPr>
      <w:r>
        <w:rPr>
          <w:rFonts w:ascii="Cambria" w:hAnsi="Cambria" w:eastAsia="Cambria"/>
          <w:b/>
          <w:color w:val="1F4E79"/>
          <w:sz w:val="24"/>
        </w:rPr>
        <w:t>7. Distribution and Confidentiality</w:t>
      </w:r>
    </w:p>
    <w:tbl>
      <w:tblPr>
        <w:tblW w:type="auto" w:w="0"/>
        <w:jc w:val="center"/>
        <w:tblLayout w:type="fixed"/>
        <w:tblLook w:val="04A0"/>
      </w:tblPr>
      <w:tblGrid>
        <w:gridCol w:w="4677"/>
        <w:gridCol w:w="4677"/>
      </w:tblGrid>
      <w:tr>
        <w:trPr>
          <w:tblHeader w:val="true"/>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Recipient / Role</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6"/>
              </w:rPr>
              <w:t>Distribution / Access</w:t>
            </w:r>
          </w:p>
        </w:tc>
      </w:tr>
      <w:tr>
        <w:trPr>
          <w:cantSplit/>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Top Management / PIMS Governance</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 APPROPRIATE]</w:t>
            </w:r>
          </w:p>
        </w:tc>
      </w:tr>
      <w:tr>
        <w:trPr>
          <w:cantSplit/>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Privacy / PIMS Manager</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 APPROPRIATE]</w:t>
            </w:r>
          </w:p>
        </w:tc>
      </w:tr>
      <w:tr>
        <w:trPr>
          <w:cantSplit/>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Audited Process Owner</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[AS APPROPRIATE]</w:t>
            </w:r>
          </w:p>
        </w:tc>
      </w:tr>
      <w:tr>
        <w:trPr>
          <w:cantSplit/>
        </w:trPr>
        <w:tc>
          <w:tcPr>
            <w:tcW w:type="dxa" w:w="3685"/>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Internal Audit / Controlled Repository</w:t>
            </w:r>
          </w:p>
        </w:tc>
        <w:tc>
          <w:tcPr>
            <w:tcW w:type="dxa" w:w="566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6"/>
              </w:rPr>
              <w:t>Controlled master record</w:t>
            </w:r>
          </w:p>
        </w:tc>
      </w:tr>
    </w:tbl>
    <w:tbl>
      <w:tblPr>
        <w:tblW w:type="auto" w:w="0"/>
        <w:jc w:val="center"/>
        <w:tblLayout w:type="autofit"/>
        <w:tblLook w:val="04A0"/>
      </w:tblPr>
      <w:tblGrid>
        <w:gridCol w:w="9355"/>
      </w:tblGrid>
      <w:tr>
        <w:tc>
          <w:tcPr>
            <w:tcW w:type="dxa" w:w="9355"/>
            <w:tcBorders>
              <w:top w:val="single" w:sz="3" w:space="0" w:color="E6D690"/>
              <w:left w:val="single" w:sz="3" w:space="0" w:color="E6D690"/>
              <w:bottom w:val="single" w:sz="3" w:space="0" w:color="E6D690"/>
              <w:right w:val="single" w:sz="3" w:space="0" w:color="E6D690"/>
              <w:insideH w:val="single" w:sz="3" w:space="0" w:color="E6D690"/>
              <w:insideV w:val="single" w:sz="3" w:space="0" w:color="E6D690"/>
            </w:tcBorders>
            <w:shd w:fill="FFF2CC" w:val="clear"/>
            <w:tcMar>
              <w:top w:w="70" w:type="dxa"/>
              <w:left w:w="90" w:type="dxa"/>
              <w:bottom w:w="70" w:type="dxa"/>
              <w:right w:w="90" w:type="dxa"/>
            </w:tcMar>
          </w:tcPr>
          <w:p>
            <w:pPr>
              <w:keepLines/>
              <w:spacing w:before="0" w:after="0" w:line="252" w:lineRule="auto"/>
            </w:pPr>
            <w:r>
              <w:rPr>
                <w:rFonts w:ascii="Cambria" w:hAnsi="Cambria" w:eastAsia="Cambria"/>
                <w:b/>
                <w:i/>
                <w:color w:val="C00000"/>
                <w:sz w:val="18"/>
              </w:rPr>
              <w:t xml:space="preserve">[Note] </w:t>
            </w:r>
            <w:r>
              <w:rPr>
                <w:rFonts w:ascii="Cambria" w:hAnsi="Cambria" w:eastAsia="Cambria"/>
                <w:i/>
                <w:color w:val="C00000"/>
                <w:sz w:val="18"/>
              </w:rPr>
              <w:t>Where detailed evidence contains PII, keep it in the approved restricted audit repository and reference it by controlled evidence ID rather than embedding unnecessary personal data in the report.</w:t>
            </w:r>
          </w:p>
        </w:tc>
      </w:tr>
    </w:tbl>
    <w:p>
      <w:pPr>
        <w:spacing w:after="20"/>
      </w:pPr>
    </w:p>
    <w:p>
      <w:pPr>
        <w:pStyle w:val="Heading1"/>
        <w:keepNext/>
        <w:spacing w:before="120" w:after="60" w:line="252" w:lineRule="auto"/>
      </w:pPr>
      <w:r>
        <w:rPr>
          <w:rFonts w:ascii="Cambria" w:hAnsi="Cambria" w:eastAsia="Cambria"/>
          <w:b/>
          <w:color w:val="1F4E79"/>
          <w:sz w:val="24"/>
        </w:rPr>
        <w:t>References and Related Sources</w:t>
      </w:r>
    </w:p>
    <w:tbl>
      <w:tblPr>
        <w:tblW w:type="auto" w:w="0"/>
        <w:jc w:val="center"/>
        <w:tblLayout w:type="fixed"/>
        <w:tblLook w:val="04A0"/>
      </w:tblPr>
      <w:tblGrid>
        <w:gridCol w:w="3118"/>
        <w:gridCol w:w="3118"/>
        <w:gridCol w:w="3118"/>
      </w:tblGrid>
      <w:tr>
        <w:trPr>
          <w:tblHeader w:val="true"/>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Reference</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Use in this document</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5"/>
              </w:rPr>
              <w:t>Source / Location</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27701:2025</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Privacy information management systems — requirements and guidance. Current published Edition 2; standalone PIMS management system standard.</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https://www.iso.org/standard/27701.html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ISO/IEC 27001:2022</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Information security management systems — requirements. Relevant where the PIMS is integrated with an ISMS.</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https://www.iso.org/standard/27001.html</w:t>
            </w:r>
          </w:p>
        </w:tc>
      </w:tr>
      <w:tr>
        <w:trPr>
          <w:cantSplit/>
        </w:trPr>
        <w:tc>
          <w:tcPr>
            <w:tcW w:type="dxa" w:w="2381"/>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Organization privacy documentation</w:t>
            </w:r>
          </w:p>
        </w:tc>
        <w:tc>
          <w:tcPr>
            <w:tcW w:type="dxa" w:w="4479"/>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Approved privacy obligations, PII processing inventory, privacy notices, contracts, risk assessments, procedures, incidents, requests and monitoring evidence.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5"/>
              </w:rPr>
              <w:t>[INTERNAL SOURCE / REPOSITORY]</w:t>
            </w:r>
          </w:p>
        </w:tc>
      </w:tr>
    </w:tbl>
    <w:p>
      <w:pPr>
        <w:pStyle w:val="Heading1"/>
        <w:keepNext/>
        <w:spacing w:before="120" w:after="60" w:line="252" w:lineRule="auto"/>
      </w:pPr>
      <w:r>
        <w:rPr>
          <w:rFonts w:ascii="Cambria" w:hAnsi="Cambria" w:eastAsia="Cambria"/>
          <w:b/>
          <w:color w:val="1F4E79"/>
          <w:sz w:val="24"/>
        </w:rPr>
        <w:t>Revision and Approval</w:t>
      </w:r>
    </w:p>
    <w:tbl>
      <w:tblPr>
        <w:tblW w:type="auto" w:w="0"/>
        <w:jc w:val="center"/>
        <w:tblLayout w:type="fixed"/>
        <w:tblLook w:val="04A0"/>
      </w:tblPr>
      <w:tblGrid>
        <w:gridCol w:w="1871"/>
        <w:gridCol w:w="1871"/>
        <w:gridCol w:w="1871"/>
        <w:gridCol w:w="1871"/>
        <w:gridCol w:w="1871"/>
      </w:tblGrid>
      <w:tr>
        <w:trPr>
          <w:tblHeader w:val="true"/>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Version</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Date</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Change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Document Owner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shd w:fill="EAF3F8" w:val="clear"/>
            <w:tcMar>
              <w:top w:w="80" w:type="dxa"/>
              <w:left w:w="90" w:type="dxa"/>
              <w:bottom w:w="80" w:type="dxa"/>
              <w:right w:w="90" w:type="dxa"/>
            </w:tcMar>
            <w:vAlign w:val="center"/>
          </w:tcPr>
          <w:p>
            <w:pPr>
              <w:spacing w:before="0" w:after="0" w:line="252" w:lineRule="auto"/>
              <w:jc w:val="center"/>
            </w:pPr>
            <w:r/>
            <w:r>
              <w:rPr>
                <w:rFonts w:ascii="Cambria" w:hAnsi="Cambria" w:eastAsia="Cambria"/>
                <w:b/>
                <w:color w:val="000000"/>
                <w:sz w:val="17"/>
              </w:rPr>
              <w:t>Approver</w:t>
            </w:r>
          </w:p>
        </w:tc>
      </w:tr>
      <w:tr>
        <w:trPr>
          <w:cantSplit/>
        </w:trPr>
        <w:tc>
          <w:tcPr>
            <w:tcW w:type="dxa" w:w="1020"/>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1.0</w:t>
            </w:r>
          </w:p>
        </w:tc>
        <w:tc>
          <w:tcPr>
            <w:tcW w:type="dxa" w:w="1417"/>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2026-09-18</w:t>
            </w:r>
          </w:p>
        </w:tc>
        <w:tc>
          <w:tcPr>
            <w:tcW w:type="dxa" w:w="249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Initial issue</w:t>
            </w:r>
          </w:p>
        </w:tc>
        <w:tc>
          <w:tcPr>
            <w:tcW w:type="dxa" w:w="2268"/>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Lead Privacy Auditor</w:t>
            </w:r>
          </w:p>
        </w:tc>
        <w:tc>
          <w:tcPr>
            <w:tcW w:type="dxa" w:w="2154"/>
            <w:tcBorders>
              <w:top w:val="single" w:sz="4" w:space="0" w:color="B7C9D6"/>
              <w:left w:val="single" w:sz="4" w:space="0" w:color="B7C9D6"/>
              <w:bottom w:val="single" w:sz="4" w:space="0" w:color="B7C9D6"/>
              <w:right w:val="single" w:sz="4" w:space="0" w:color="B7C9D6"/>
              <w:insideH w:val="single" w:sz="4" w:space="0" w:color="B7C9D6"/>
              <w:insideV w:val="single" w:sz="4" w:space="0" w:color="B7C9D6"/>
            </w:tcBorders>
            <w:tcMar>
              <w:top w:w="80" w:type="dxa"/>
              <w:left w:w="90" w:type="dxa"/>
              <w:bottom w:w="80" w:type="dxa"/>
              <w:right w:w="90" w:type="dxa"/>
            </w:tcMar>
            <w:vAlign w:val="top"/>
          </w:tcPr>
          <w:p>
            <w:pPr>
              <w:spacing w:before="0" w:after="0" w:line="252" w:lineRule="auto"/>
            </w:pPr>
            <w:r/>
            <w:r>
              <w:rPr>
                <w:rFonts w:ascii="Cambria" w:hAnsi="Cambria" w:eastAsia="Cambria"/>
                <w:color w:val="000000"/>
                <w:sz w:val="17"/>
              </w:rPr>
              <w:t>Audit Programme Owner / Authorized Management</w:t>
            </w:r>
          </w:p>
        </w:tc>
      </w:tr>
    </w:tbl>
    <w:sectPr w:rsidR="00FC693F" w:rsidRPr="0006063C" w:rsidSect="00034616">
      <w:headerReference w:type="default" r:id="rId9"/>
      <w:footerReference w:type="default" r:id="rId10"/>
      <w:pgSz w:w="11906" w:h="16838"/>
      <w:pgMar w:top="1134" w:right="1134" w:bottom="1134" w:left="1417" w:header="397"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Footer"/>
      <w:spacing w:after="20"/>
      <w:jc w:val="center"/>
    </w:pPr>
    <w:r/>
    <w:r>
      <w:rPr>
        <w:rFonts w:ascii="Cambria" w:hAnsi="Cambria" w:eastAsia="Cambria"/>
        <w:color w:val="666666"/>
        <w:sz w:val="16"/>
      </w:rPr>
      <w:t>Copyright © ISO Toolkits | www.iso-toolkits.org | info@iso-toolkits.org</w:t>
    </w:r>
  </w:p>
  <w:p>
    <w:pPr>
      <w:spacing w:after="0"/>
      <w:jc w:val="center"/>
    </w:pPr>
    <w:r>
      <w:rPr>
        <w:rFonts w:ascii="Cambria" w:hAnsi="Cambria" w:eastAsia="Cambria"/>
        <w:color w:val="666666"/>
        <w:sz w:val="16"/>
      </w:rPr>
      <w:t xml:space="preserve">CONTROLLED DOCUMENT | INTERNAL | Page </w:t>
    </w:r>
    <w:r>
      <w:rPr>
        <w:rFonts w:ascii="Cambria" w:hAnsi="Cambria" w:eastAsia="Cambria"/>
        <w:color w:val="666666"/>
        <w:sz w:val="16"/>
      </w:rPr>
      <w:fldChar w:fldCharType="begin"/>
      <w:instrText xml:space="preserve"> PAGE </w:instrText>
      <w:fldChar w:fldCharType="end"/>
    </w:r>
    <w:r>
      <w:rPr>
        <w:rFonts w:ascii="Cambria" w:hAnsi="Cambria" w:eastAsia="Cambria"/>
        <w:color w:val="666666"/>
        <w:sz w:val="16"/>
      </w:rPr>
      <w:t xml:space="preserve"> of </w:t>
    </w:r>
    <w:r>
      <w:rPr>
        <w:rFonts w:ascii="Cambria" w:hAnsi="Cambria" w:eastAsia="Cambria"/>
        <w:color w:val="666666"/>
        <w:sz w:val="16"/>
      </w:rP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http://schemas.openxmlformats.org/wordprocessingml/2006/main" xmlns:wne="http://schemas.microsoft.com/office/word/2006/wordml"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w:p>
    <w:pPr>
      <w:pStyle w:val="Header"/>
      <w:spacing w:after="0"/>
    </w:pPr>
    <w:r/>
  </w:p>
  <w:tbl>
    <w:tblPr>
      <w:tblW w:type="auto" w:w="0"/>
      <w:jc w:val="center"/>
      <w:tblLayout w:type="fixed"/>
      <w:tblLook w:val="04A0"/>
    </w:tblPr>
    <w:tblGrid>
      <w:gridCol w:w="3118"/>
      <w:gridCol w:w="3118"/>
      <w:gridCol w:w="3118"/>
    </w:tblGrid>
    <w:tr>
      <w:tc>
        <w:tcPr>
          <w:tcW w:type="dxa" w:w="1814"/>
          <w:tcMar>
            <w:top w:w="20" w:type="dxa"/>
            <w:left w:w="40" w:type="dxa"/>
            <w:bottom w:w="20" w:type="dxa"/>
            <w:right w:w="40" w:type="dxa"/>
          </w:tcMar>
        </w:tcPr>
        <w:p>
          <w:pPr>
            <w:jc w:val="center"/>
          </w:pPr>
          <w:r>
            <w:rPr>
              <w:rFonts w:ascii="Cambria" w:hAnsi="Cambria" w:eastAsia="Cambria"/>
              <w:color w:val="666666"/>
              <w:sz w:val="16"/>
            </w:rPr>
            <w:t>ORGANIZATION</w:t>
            <w:br/>
            <w:t>LOGO</w:t>
          </w:r>
        </w:p>
      </w:tc>
      <w:tc>
        <w:tcPr>
          <w:tcW w:type="dxa" w:w="5216"/>
          <w:tcMar>
            <w:top w:w="20" w:type="dxa"/>
            <w:left w:w="40" w:type="dxa"/>
            <w:bottom w:w="20" w:type="dxa"/>
            <w:right w:w="40" w:type="dxa"/>
          </w:tcMar>
        </w:tcPr>
        <w:p>
          <w:pPr>
            <w:jc w:val="center"/>
          </w:pPr>
          <w:r>
            <w:rPr>
              <w:rFonts w:ascii="Cambria" w:hAnsi="Cambria" w:eastAsia="Cambria"/>
              <w:color w:val="666666"/>
              <w:sz w:val="16"/>
            </w:rPr>
            <w:t>[ORGANIZATION NAME]</w:t>
            <w:br/>
          </w:r>
          <w:r>
            <w:rPr>
              <w:rFonts w:ascii="Cambria" w:hAnsi="Cambria" w:eastAsia="Cambria"/>
              <w:b/>
              <w:color w:val="1F4E79"/>
              <w:sz w:val="18"/>
            </w:rPr>
            <w:t>Internal Privacy Audit Report</w:t>
          </w:r>
        </w:p>
      </w:tc>
      <w:tc>
        <w:tcPr>
          <w:tcW w:type="dxa" w:w="2324"/>
          <w:tcMar>
            <w:top w:w="20" w:type="dxa"/>
            <w:left w:w="40" w:type="dxa"/>
            <w:bottom w:w="20" w:type="dxa"/>
            <w:right w:w="40" w:type="dxa"/>
          </w:tcMar>
        </w:tcPr>
        <w:p>
          <w:pPr>
            <w:jc w:val="right"/>
          </w:pPr>
          <w:r>
            <w:rPr>
              <w:rFonts w:ascii="Cambria" w:hAnsi="Cambria" w:eastAsia="Cambria"/>
              <w:b/>
              <w:color w:val="666666"/>
              <w:sz w:val="16"/>
            </w:rPr>
            <w:t>PIMS-AUD-001</w:t>
            <w:br/>
          </w:r>
          <w:r>
            <w:rPr>
              <w:rFonts w:ascii="Cambria" w:hAnsi="Cambria" w:eastAsia="Cambria"/>
              <w:color w:val="666666"/>
              <w:sz w:val="16"/>
            </w:rPr>
            <w:t>Version 1.0</w:t>
            <w:br/>
          </w:r>
          <w:r>
            <w:rPr>
              <w:rFonts w:ascii="Cambria" w:hAnsi="Cambria" w:eastAsia="Cambria"/>
              <w:color w:val="666666"/>
              <w:sz w:val="16"/>
            </w:rPr>
            <w:t>Effective 2026-09-18</w:t>
          </w:r>
        </w:p>
      </w:tc>
    </w:tr>
  </w:tbl>
  <w:p>
    <w:pPr>
      <w:spacing w:after="0"/>
      <w:pBdr>
        <w:bottom w:val="single" w:sz="8" w:color="1F4E79" w:space="1"/>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pg="http://schemas.microsoft.com/office/word/2010/wordprocessingGroup" xmlns:wpi="http://schemas.microsoft.com/office/word/2010/wordprocessingInk" xmlns:wne="http://schemas.microsoft.com/office/word/2006/wordml" xmlns:wps="http://schemas.microsoft.com/office/word/2010/wordprocessingShape">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Cambria" w:hAnsi="Cambria"/>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4E79"/>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b/>
      <w:color w:val="1F4E79"/>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mbria" w:hAnsi="Cambria"/>
      <w:sz w:val="20"/>
    </w:rPr>
  </w:style>
  <w:style w:type="paragraph" w:styleId="ListBullet2">
    <w:name w:val="List Bullet 2"/>
    <w:basedOn w:val="Normal"/>
    <w:uiPriority w:val="99"/>
    <w:unhideWhenUsed/>
    <w:rsid w:val="00326F90"/>
    <w:pPr>
      <w:numPr>
        <w:numId w:val="2"/>
      </w:numPr>
      <w:contextualSpacing/>
    </w:pPr>
    <w:rPr>
      <w:rFonts w:ascii="Cambria" w:hAnsi="Cambria"/>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