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INTERNAL PRIVACY AUDIT PROCEDURE</w:t>
      </w:r>
    </w:p>
    <w:p>
      <w:pPr>
        <w:spacing w:after="120"/>
      </w:pPr>
      <w:r>
        <w:rPr>
          <w:rFonts w:ascii="Cambria" w:hAnsi="Cambria" w:eastAsia="Cambria"/>
          <w:b/>
          <w:sz w:val="23"/>
        </w:rPr>
        <w:t>ISO/IEC 27701:2025</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Internal Audit / PIMS Assurance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 / Audit Authority</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Privacy audits can require access to PII, request files, incident records and contracts. Use data minimization, need-to-know access and approved audit repositories. Avoid copying personal data into working papers unless necessary and authorized.</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a repeatable method for planning, conducting, reporting and following up internal PIMS audits so conclusions are independent, evidence-based, privacy-safe and useful for management decisions.</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internal audits of PIMS governance, privacy-risk management, PII-processing controls, controller/processor responsibilities, suppliers, requests, incidents, performance and improvement activities within the approved audit programme.</w:t>
      </w: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Programme Owner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risk-based audit coverage, competence, independence, schedule and reporting.</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 Auditor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 the audit, confirm criteria/scope, protect audit evidence, lead fieldwork and approve findings.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Team</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Collect objective evidence, maintain confidentiality and document traceable conclusions.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 Process Owners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evidence, explain processes, validate factual accuracy and own agreed corrective actions.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 Audit Authority</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significant findings, resolve barriers and ensure material actions receive suitable resources.</w:t>
            </w:r>
          </w:p>
        </w:tc>
      </w:tr>
    </w:tbl>
    <w:p>
      <w:pPr>
        <w:pStyle w:val="Heading1"/>
        <w:keepNext/>
        <w:spacing w:before="120" w:after="60" w:line="252" w:lineRule="auto"/>
      </w:pPr>
      <w:r>
        <w:rPr>
          <w:rFonts w:ascii="Cambria" w:hAnsi="Cambria" w:eastAsia="Cambria"/>
          <w:b/>
          <w:color w:val="1F4E79"/>
          <w:sz w:val="24"/>
        </w:rPr>
        <w:t>4. Procedure</w:t>
      </w:r>
    </w:p>
    <w:tbl>
      <w:tblPr>
        <w:tblW w:type="auto" w:w="0"/>
        <w:jc w:val="center"/>
        <w:tblLayout w:type="fixed"/>
        <w:tblLook w:val="04A0"/>
      </w:tblPr>
      <w:tblGrid>
        <w:gridCol w:w="2339"/>
        <w:gridCol w:w="2339"/>
        <w:gridCol w:w="2339"/>
        <w:gridCol w:w="2339"/>
      </w:tblGrid>
      <w:tr>
        <w:trPr>
          <w:tblHeader w:val="true"/>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Responsible</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Activity</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 / Record</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 Programme Planning</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Programme Owner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Prioritize audit areas using privacy risk, changes, incidents, requests, supplier dependencies, previous findings and management concerns.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audit programme</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 Audit Initiation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 objective, scope, criteria, team, independence, timing, evidence access and privacy safeguards.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plan / notification</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 Evidence Preparation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 / Team</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Identify processing records, risk/impact assessments, notices, request cases, supplier files, incidents, monitoring and management records to sample.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Sampling / evidence plan</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 Opening</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 audit purpose, logistics, confidentiality, escalation for urgent privacy risks and evidence handling.</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Opening record</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 Fieldwork</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Team</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Interview roles; review records and systems; trace selected PII-processing activities end-to-end; corroborate evidence.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working papers</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 Finding Development</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Team / Lead Auditor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Compare evidence with approved criteria; write clear findings and distinguish gaps, OFIs and evidence limitations.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findings</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 Factual Validation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 / Process Owner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 factual accuracy without negotiating away evidence-based conclusions.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Validated facts / responses</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 Closing</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Present conclusions, significant risks, strengths, findings, action expectations and reporting timeline.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Closing record</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 Audit Report</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Issue approved report to authorized recipients; protect sensitive PII and confidential details.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Privacy Audit Report</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 Corrective Action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Finding Owner</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Correct the issue, evaluate cause where appropriate, implement action and provide evidence.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Corrective action record</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11. Follow-Up</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Lead Auditor / Assurance</w:t>
            </w:r>
          </w:p>
        </w:tc>
        <w:tc>
          <w:tcPr>
            <w:tcW w:type="dxa" w:w="419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Verify implementation and, for material/systemic issues, effectiveness before closure.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Closure / verification evidence</w:t>
            </w:r>
          </w:p>
        </w:tc>
      </w:tr>
    </w:tbl>
    <w:p>
      <w:pPr>
        <w:pStyle w:val="Heading1"/>
        <w:keepNext/>
        <w:spacing w:before="120" w:after="60" w:line="252" w:lineRule="auto"/>
      </w:pPr>
      <w:r>
        <w:rPr>
          <w:rFonts w:ascii="Cambria" w:hAnsi="Cambria" w:eastAsia="Cambria"/>
          <w:b/>
          <w:color w:val="1F4E79"/>
          <w:sz w:val="24"/>
        </w:rPr>
        <w:t>5. Sampling Guidance</w:t>
      </w:r>
    </w:p>
    <w:p>
      <w:pPr>
        <w:pStyle w:val="ListBullet"/>
        <w:spacing w:before="0" w:after="50" w:line="252" w:lineRule="auto"/>
      </w:pPr>
      <w:r>
        <w:rPr>
          <w:rFonts w:ascii="Cambria" w:hAnsi="Cambria" w:eastAsia="Cambria"/>
          <w:sz w:val="20"/>
        </w:rPr>
        <w:t>Select processing activities based on privacy risk, scale/sensitivity, volume, changes, incidents, complaints/requests, outsourcing and prior issues.</w:t>
      </w:r>
    </w:p>
    <w:p>
      <w:pPr>
        <w:pStyle w:val="ListBullet"/>
        <w:spacing w:before="0" w:after="50" w:line="252" w:lineRule="auto"/>
      </w:pPr>
      <w:r>
        <w:rPr>
          <w:rFonts w:ascii="Cambria" w:hAnsi="Cambria" w:eastAsia="Cambria"/>
          <w:sz w:val="20"/>
        </w:rPr>
        <w:t>Sample both design evidence and operating evidence; a documented procedure alone does not demonstrate effective operation.</w:t>
      </w:r>
    </w:p>
    <w:p>
      <w:pPr>
        <w:pStyle w:val="ListBullet"/>
        <w:spacing w:before="0" w:after="50" w:line="252" w:lineRule="auto"/>
      </w:pPr>
      <w:r>
        <w:rPr>
          <w:rFonts w:ascii="Cambria" w:hAnsi="Cambria" w:eastAsia="Cambria"/>
          <w:sz w:val="20"/>
        </w:rPr>
        <w:t>For privacy requests and incidents, sample timing, decision quality, approvals and evidence rather than copying full personal-data case content.</w:t>
      </w:r>
    </w:p>
    <w:p>
      <w:pPr>
        <w:pStyle w:val="ListBullet"/>
        <w:spacing w:before="0" w:after="50" w:line="252" w:lineRule="auto"/>
      </w:pPr>
      <w:r>
        <w:rPr>
          <w:rFonts w:ascii="Cambria" w:hAnsi="Cambria" w:eastAsia="Cambria"/>
          <w:sz w:val="20"/>
        </w:rPr>
        <w:t>For suppliers, trace due diligence, role/instructions, contract, monitoring, changes, incidents and exit where applicable.</w:t>
      </w:r>
    </w:p>
    <w:p>
      <w:pPr>
        <w:pStyle w:val="ListBullet"/>
        <w:spacing w:before="0" w:after="50" w:line="252" w:lineRule="auto"/>
      </w:pPr>
      <w:r>
        <w:rPr>
          <w:rFonts w:ascii="Cambria" w:hAnsi="Cambria" w:eastAsia="Cambria"/>
          <w:sz w:val="20"/>
        </w:rPr>
        <w:t>Where metrics influence management decisions, reperform selected calculations and check scope/exclusions/data lineage.</w:t>
      </w:r>
    </w:p>
    <w:p>
      <w:pPr>
        <w:pStyle w:val="Heading1"/>
        <w:keepNext/>
        <w:spacing w:before="120" w:after="60" w:line="252" w:lineRule="auto"/>
      </w:pPr>
      <w:r>
        <w:rPr>
          <w:rFonts w:ascii="Cambria" w:hAnsi="Cambria" w:eastAsia="Cambria"/>
          <w:b/>
          <w:color w:val="1F4E79"/>
          <w:sz w:val="24"/>
        </w:rPr>
        <w:t>6. Finding Classification</w:t>
      </w:r>
    </w:p>
    <w:p>
      <w:pPr>
        <w:spacing w:before="0" w:after="80" w:line="252" w:lineRule="auto"/>
      </w:pPr>
      <w:r>
        <w:rPr>
          <w:rFonts w:ascii="Cambria" w:hAnsi="Cambria" w:eastAsia="Cambria"/>
          <w:i w:val="0"/>
          <w:sz w:val="20"/>
        </w:rPr>
        <w:t>Use the organization’s approved audit taxonomy. Classification should consider criterion significance, privacy risk, scope, recurrence, control failure and evidence—not the auditor’s personal preference. Where legal interpretation is uncertain, assign authoritative review rather than declaring a legal breach without support.</w:t>
      </w:r>
    </w:p>
    <w:p>
      <w:pPr>
        <w:pStyle w:val="Heading1"/>
        <w:keepNext/>
        <w:spacing w:before="120" w:after="60" w:line="252" w:lineRule="auto"/>
      </w:pPr>
      <w:r>
        <w:rPr>
          <w:rFonts w:ascii="Cambria" w:hAnsi="Cambria" w:eastAsia="Cambria"/>
          <w:b/>
          <w:color w:val="1F4E79"/>
          <w:sz w:val="24"/>
        </w:rPr>
        <w:t>7. Urgent Escalation</w:t>
      </w:r>
    </w:p>
    <w:p>
      <w:pPr>
        <w:spacing w:before="0" w:after="80" w:line="252" w:lineRule="auto"/>
      </w:pPr>
      <w:r>
        <w:rPr>
          <w:rFonts w:ascii="Cambria" w:hAnsi="Cambria" w:eastAsia="Cambria"/>
          <w:i w:val="0"/>
          <w:sz w:val="20"/>
        </w:rPr>
        <w:t>Immediately escalate evidence of an active material privacy incident, uncontrolled high-risk processing, unauthorized disclosure or other urgent risk through the approved incident/escalation route. Do not wait for the final audit report.</w:t>
      </w:r>
    </w:p>
    <w:p>
      <w:pPr>
        <w:pStyle w:val="Heading1"/>
        <w:keepNext/>
        <w:spacing w:before="120" w:after="60" w:line="252" w:lineRule="auto"/>
      </w:pPr>
      <w:r>
        <w:rPr>
          <w:rFonts w:ascii="Cambria" w:hAnsi="Cambria" w:eastAsia="Cambria"/>
          <w:b/>
          <w:color w:val="1F4E79"/>
          <w:sz w:val="24"/>
        </w:rPr>
        <w:t>8. Audit Records</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 Expectation</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programme / plan</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approved and traceable.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Working papers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Minimum necessary evidence; restricted access; secure storage.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Interview notes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Relevant to audit conclusion; avoid unnecessary personal information.</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Findings / report</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Objective, approved, distributed only to authorized recipients.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Corrective action / closure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Owner, due date, implementation evidence and effectiveness verification where applicable.</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Retention of audit working papers and privacy evidence should follow approved organizational retention requirements. Do not invent a universal retention period.</w:t>
            </w:r>
          </w:p>
        </w:tc>
      </w:tr>
    </w:tbl>
    <w:p>
      <w:pPr>
        <w:spacing w:after="20"/>
      </w:pP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standalone PIMS management system standard.</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https://www.iso.org/standard/27701.html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where the PIMS is integrated with an ISMS.</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https://www.iso.org/standard/27001.html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documentation</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privacy obligations, PII processing inventory, privacy notices, contracts, risk assessments, procedures, incidents, requests and monitoring evidence.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Internal Audit / PIMS Assurance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 / Audit Authority</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Internal Privacy Audit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PIMS-PRO-001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