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DOCUMENTED INFORMATION PROCEDURE</w:t>
      </w:r>
    </w:p>
    <w:p>
      <w:pPr>
        <w:spacing w:after="120"/>
      </w:pPr>
      <w:r>
        <w:rPr>
          <w:rFonts w:ascii="Cambria" w:hAnsi="Cambria" w:eastAsia="Cambria"/>
          <w:b/>
          <w:sz w:val="23"/>
        </w:rPr>
        <w:t>ISO/IEC 27701:2025</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Privacy / PIMS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 / Authorized 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Privacy records may contain sensitive PII, legal advice, incident details or security information. Access, retention and disclosure controls must be based on verified business, legal, contractual and risk requirements; do not adopt illustrative retention periods as actual requirements.</w:t>
            </w:r>
          </w:p>
        </w:tc>
      </w:tr>
    </w:tbl>
    <w:p>
      <w:pPr>
        <w:spacing w:after="2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Define a practical method to create, review, approve, issue, access, change, protect, retain and dispose of documented information needed to operate and evidence the Privacy Information Management System (PIMS).</w:t>
      </w:r>
    </w:p>
    <w:p>
      <w:pPr>
        <w:pStyle w:val="Heading1"/>
        <w:keepNext/>
        <w:spacing w:before="120" w:after="60" w:line="252" w:lineRule="auto"/>
      </w:pPr>
      <w:r>
        <w:rPr>
          <w:rFonts w:ascii="Cambria" w:hAnsi="Cambria" w:eastAsia="Cambria"/>
          <w:b/>
          <w:color w:val="1F4E79"/>
          <w:sz w:val="24"/>
        </w:rPr>
        <w:t>2. Scope</w:t>
      </w:r>
    </w:p>
    <w:p>
      <w:pPr>
        <w:spacing w:before="0" w:after="80" w:line="252" w:lineRule="auto"/>
      </w:pPr>
      <w:r>
        <w:rPr>
          <w:rFonts w:ascii="Cambria" w:hAnsi="Cambria" w:eastAsia="Cambria"/>
          <w:i w:val="0"/>
          <w:sz w:val="20"/>
        </w:rPr>
        <w:t>Applies to controlled PIMS policies, manuals, procedures, guidance, forms, registers, plans, notices and externally sourced information, together with records that demonstrate privacy governance, PII processing, privacy risk management, requests, supplier oversight, incidents, monitoring, audit and management review.</w:t>
      </w:r>
    </w:p>
    <w:p>
      <w:pPr>
        <w:pStyle w:val="Heading1"/>
        <w:keepNext/>
        <w:spacing w:before="120" w:after="60" w:line="252" w:lineRule="auto"/>
      </w:pPr>
      <w:r>
        <w:rPr>
          <w:rFonts w:ascii="Cambria" w:hAnsi="Cambria" w:eastAsia="Cambria"/>
          <w:b/>
          <w:color w:val="1F4E79"/>
          <w:sz w:val="24"/>
        </w:rPr>
        <w:t>3. Roles and Responsibilities</w:t>
      </w:r>
    </w:p>
    <w:tbl>
      <w:tblPr>
        <w:tblW w:type="auto" w:w="0"/>
        <w:jc w:val="center"/>
        <w:tblLayout w:type="fixed"/>
        <w:tblLook w:val="04A0"/>
      </w:tblPr>
      <w:tblGrid>
        <w:gridCol w:w="4677"/>
        <w:gridCol w:w="4677"/>
      </w:tblGrid>
      <w:tr>
        <w:trPr>
          <w:tblHeader w:val="true"/>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Role</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Responsibility</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 / Authorized Approver</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 documents that establish PIMS direction, commitments, material responsibilities or management decisions.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Privacy / PIMS Manager</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the documented-information framework, document register, ownership and control expectations.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Owner</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Draft, review, validate, maintain and periodically reassess assigned controlled documents and records.</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 / PII Processing Owner</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Ensure operational records accurately reflect actual processing, decisions and evidence.</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System / Repository Administrator</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approved access, backup, availability, versioning and technical repository controls as assigned.</w:t>
            </w:r>
          </w:p>
        </w:tc>
      </w:tr>
      <w:tr>
        <w:trPr>
          <w:cantSplit/>
        </w:trPr>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All Users</w:t>
            </w:r>
          </w:p>
        </w:tc>
        <w:tc>
          <w:tcPr>
            <w:tcW w:type="dxa" w:w="680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current approved information, protect sensitive records and report obsolete, inaccurate or inaccessible information.</w:t>
            </w:r>
          </w:p>
        </w:tc>
      </w:tr>
    </w:tbl>
    <w:p>
      <w:pPr>
        <w:pStyle w:val="Heading1"/>
        <w:keepNext/>
        <w:spacing w:before="120" w:after="60" w:line="252" w:lineRule="auto"/>
      </w:pPr>
      <w:r>
        <w:rPr>
          <w:rFonts w:ascii="Cambria" w:hAnsi="Cambria" w:eastAsia="Cambria"/>
          <w:b/>
          <w:color w:val="1F4E79"/>
          <w:sz w:val="24"/>
        </w:rPr>
        <w:t>4. Procedure</w:t>
      </w:r>
    </w:p>
    <w:tbl>
      <w:tblPr>
        <w:tblW w:type="auto" w:w="0"/>
        <w:jc w:val="center"/>
        <w:tblLayout w:type="fixed"/>
        <w:tblLook w:val="04A0"/>
      </w:tblPr>
      <w:tblGrid>
        <w:gridCol w:w="2339"/>
        <w:gridCol w:w="2339"/>
        <w:gridCol w:w="2339"/>
        <w:gridCol w:w="2339"/>
      </w:tblGrid>
      <w:tr>
        <w:trPr>
          <w:tblHeader w:val="true"/>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Step</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Responsible</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Activity</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Output / Record</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Owner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Identify the business need, intended users, required evidence, sensitivity and applicable source requirements before drafting.</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request / need confirmed</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2</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Owner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Draft the document using the approved template, plain language, defined responsibilities and only necessary fields/content.</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Draft documented information</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3</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 PIMS Manager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Check alignment with PIMS scope, processing roles, privacy-risk controls and related controlled documents; resolve duplication or conflict.</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PIMS review comments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4</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Authorized Reviewer / Approver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technical/privacy accuracy and approve according to assigned authority.</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Approval evidence</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5</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Controller / Owner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Assign or confirm document code, version, effective date, classification, owner, review date and controlled repository location.</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Controlled metadata / register</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6</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Repository Administrator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Publish only the approved version; restrict edit/access rights according to sensitivity and user need.</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Controlled issued version</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7</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Owner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Communicate material changes to affected users and arrange training/briefing where process behavior changes.</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Communication / training evidence</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8</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Process Owner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Generate records at the time of activity or decision; ensure records are complete, attributable, traceable and protected from unauthorized alteration.</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Operational records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Owner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documents on the planned cycle and when triggered by change, incident, audit, legal/contractual update, processing change or control weakness.</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 change record</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10</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Document Controller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Withdraw superseded versions from operational use while retaining archival copies only where required.</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Superseded / archive status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11</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Record Owner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Apply approved retention, legal hold, archival and disposal requirements; document destruction/disposal where evidence is required.</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Retention / disposal evidence</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12</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 PIMS Manager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Periodically verify document-register completeness, overdue reviews, obsolete copies and access/control issues.</w:t>
            </w:r>
          </w:p>
        </w:tc>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 review / action record</w:t>
            </w:r>
          </w:p>
        </w:tc>
      </w:tr>
    </w:tbl>
    <w:p>
      <w:pPr>
        <w:pStyle w:val="Heading1"/>
        <w:keepNext/>
        <w:spacing w:before="120" w:after="60" w:line="252" w:lineRule="auto"/>
      </w:pPr>
      <w:r>
        <w:rPr>
          <w:rFonts w:ascii="Cambria" w:hAnsi="Cambria" w:eastAsia="Cambria"/>
          <w:b/>
          <w:color w:val="1F4E79"/>
          <w:sz w:val="24"/>
        </w:rPr>
        <w:t>5. Document Identification and Status</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Required Metadata</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 Expectation</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Title and document code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Unique and aligned with the organization document-coding convention.</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Version and effective date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Identify the currently approved issue and when it becomes operational.</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Owner and approver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Accountable roles are identifiable and current.</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Classification / sensitivity</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Reflect information sensitivity and handling needs; privacy-sensitive evidence may require tighter access than the parent procedure.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date / trigger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an approved cycle plus event-driven review after material change.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Repository / master location</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One authoritative controlled source is designated.</w:t>
            </w:r>
          </w:p>
        </w:tc>
      </w:tr>
    </w:tbl>
    <w:p>
      <w:pPr>
        <w:pStyle w:val="Heading1"/>
        <w:keepNext/>
        <w:spacing w:before="120" w:after="60" w:line="252" w:lineRule="auto"/>
      </w:pPr>
      <w:r>
        <w:rPr>
          <w:rFonts w:ascii="Cambria" w:hAnsi="Cambria" w:eastAsia="Cambria"/>
          <w:b/>
          <w:color w:val="1F4E79"/>
          <w:sz w:val="24"/>
        </w:rPr>
        <w:t>6. Control of Privacy-Sensitive Records</w:t>
      </w:r>
    </w:p>
    <w:p>
      <w:pPr>
        <w:pStyle w:val="ListBullet"/>
        <w:spacing w:before="0" w:after="50" w:line="252" w:lineRule="auto"/>
      </w:pPr>
      <w:r>
        <w:rPr>
          <w:rFonts w:ascii="Cambria" w:hAnsi="Cambria" w:eastAsia="Cambria"/>
          <w:sz w:val="20"/>
        </w:rPr>
        <w:t>Limit access to PII processing records, privacy requests, incident/breach records and higher-risk assessments according to role and need.</w:t>
      </w:r>
    </w:p>
    <w:p>
      <w:pPr>
        <w:pStyle w:val="ListBullet"/>
        <w:spacing w:before="0" w:after="50" w:line="252" w:lineRule="auto"/>
      </w:pPr>
      <w:r>
        <w:rPr>
          <w:rFonts w:ascii="Cambria" w:hAnsi="Cambria" w:eastAsia="Cambria"/>
          <w:sz w:val="20"/>
        </w:rPr>
        <w:t>Avoid embedding unnecessary PII in reports, trackers or management packs when aggregated or minimized evidence is sufficient.</w:t>
      </w:r>
    </w:p>
    <w:p>
      <w:pPr>
        <w:pStyle w:val="ListBullet"/>
        <w:spacing w:before="0" w:after="50" w:line="252" w:lineRule="auto"/>
      </w:pPr>
      <w:r>
        <w:rPr>
          <w:rFonts w:ascii="Cambria" w:hAnsi="Cambria" w:eastAsia="Cambria"/>
          <w:sz w:val="20"/>
        </w:rPr>
        <w:t>Protect confidentiality and integrity during export, transfer, collaboration, audit sampling and external disclosure.</w:t>
      </w:r>
    </w:p>
    <w:p>
      <w:pPr>
        <w:pStyle w:val="ListBullet"/>
        <w:spacing w:before="0" w:after="50" w:line="252" w:lineRule="auto"/>
      </w:pPr>
      <w:r>
        <w:rPr>
          <w:rFonts w:ascii="Cambria" w:hAnsi="Cambria" w:eastAsia="Cambria"/>
          <w:sz w:val="20"/>
        </w:rPr>
        <w:t>Apply legal hold or investigation preservation requirements where formally triggered; suspend disposal only through an approved process.</w:t>
      </w:r>
    </w:p>
    <w:p>
      <w:pPr>
        <w:pStyle w:val="ListBullet"/>
        <w:spacing w:before="0" w:after="50" w:line="252" w:lineRule="auto"/>
      </w:pPr>
      <w:r>
        <w:rPr>
          <w:rFonts w:ascii="Cambria" w:hAnsi="Cambria" w:eastAsia="Cambria"/>
          <w:sz w:val="20"/>
        </w:rPr>
        <w:t>Use secure disposal methods suitable for the medium and sensitivity, and retain disposal evidence where the control requires it.</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A PIMS document can be current while its underlying privacy obligation has changed. Obligation monitoring and document review must remain linked so that policies, notices, procedures and forms are updated when verified requirements change.</w:t>
            </w:r>
          </w:p>
        </w:tc>
      </w:tr>
    </w:tbl>
    <w:p>
      <w:pPr>
        <w:spacing w:after="20"/>
      </w:pPr>
    </w:p>
    <w:p>
      <w:pPr>
        <w:pStyle w:val="Heading1"/>
        <w:keepNext/>
        <w:spacing w:before="120" w:after="60" w:line="252" w:lineRule="auto"/>
      </w:pPr>
      <w:r>
        <w:rPr>
          <w:rFonts w:ascii="Cambria" w:hAnsi="Cambria" w:eastAsia="Cambria"/>
          <w:b/>
          <w:color w:val="1F4E79"/>
          <w:sz w:val="24"/>
        </w:rPr>
        <w:t>7. Illustrative Document Register Entries</w:t>
      </w:r>
    </w:p>
    <w:tbl>
      <w:tblPr>
        <w:tblW w:type="auto" w:w="0"/>
        <w:jc w:val="center"/>
        <w:tblLayout w:type="fixed"/>
        <w:tblLook w:val="04A0"/>
      </w:tblPr>
      <w:tblGrid>
        <w:gridCol w:w="1559"/>
        <w:gridCol w:w="1559"/>
        <w:gridCol w:w="1559"/>
        <w:gridCol w:w="1559"/>
        <w:gridCol w:w="1559"/>
        <w:gridCol w:w="1559"/>
      </w:tblGrid>
      <w:tr>
        <w:trPr>
          <w:tblHeader w:val="true"/>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Code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Title / Record</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Review Trigger</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Classification</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PIMS-POL-001</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Management Policy</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 PIMS Manager</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Annual / material change</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INTERNAL</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PIMS-REG-001</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PII Processing Inventory</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Operations Lead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Quarterly owner attestation / change</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CONFIDENTIAL</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PIMS-PRO-004</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PII Principal Request Procedure</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Operations Lead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Annual / legal-process change</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INTERNAL</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PIMS-ASM-002</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Impact Assessment Record</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Project Privacy Lead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Per assessment / processing change</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CONFIDENTIAL</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PIMS-RPT-003</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Incident Assessment Record</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Incident Response Lead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Per incident / lessons learned</w:t>
            </w:r>
          </w:p>
        </w:tc>
        <w:tc>
          <w:tcPr>
            <w:tcW w:type="dxa" w:w="85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CONFIDENTIAL</w:t>
            </w:r>
          </w:p>
        </w:tc>
      </w:tr>
    </w:tbl>
    <w:p>
      <w:pPr>
        <w:pStyle w:val="Heading1"/>
        <w:keepNext/>
        <w:spacing w:before="120" w:after="60" w:line="252" w:lineRule="auto"/>
      </w:pPr>
      <w:r>
        <w:rPr>
          <w:rFonts w:ascii="Cambria" w:hAnsi="Cambria" w:eastAsia="Cambria"/>
          <w:b/>
          <w:color w:val="1F4E79"/>
          <w:sz w:val="24"/>
        </w:rPr>
        <w:t>8. Records and Evidence</w:t>
      </w:r>
    </w:p>
    <w:tbl>
      <w:tblPr>
        <w:tblW w:type="auto" w:w="0"/>
        <w:jc w:val="center"/>
        <w:tblLayout w:type="fixed"/>
        <w:tblLook w:val="04A0"/>
      </w:tblPr>
      <w:tblGrid>
        <w:gridCol w:w="3118"/>
        <w:gridCol w:w="3118"/>
        <w:gridCol w:w="3118"/>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Record</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Minimum Control Expectation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Typical Owner</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register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Current title, code, version, owner, approval, review status and master location.</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Controller / PIMS Manager</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Approval / change evidence</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Shows what changed, why, who reviewed/approved and effective date.</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Owner</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Communication / training evidence</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Shows affected users were informed where material behavior changed.</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 Owner / Training Lead</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Archive / disposal evidence</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Shows approved status, retention/disposal decision and execution where required.</w:t>
            </w:r>
          </w:p>
        </w:tc>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Record Owner</w:t>
            </w:r>
          </w:p>
        </w:tc>
      </w:tr>
    </w:tbl>
    <w:p>
      <w:pPr>
        <w:pStyle w:val="Heading1"/>
        <w:keepNext/>
        <w:spacing w:before="120" w:after="60" w:line="252" w:lineRule="auto"/>
      </w:pPr>
      <w:r>
        <w:rPr>
          <w:rFonts w:ascii="Cambria" w:hAnsi="Cambria" w:eastAsia="Cambria"/>
          <w:b/>
          <w:color w:val="1F4E79"/>
          <w:sz w:val="24"/>
        </w:rPr>
        <w:t>9. Exceptions and Escalation</w:t>
      </w:r>
    </w:p>
    <w:p>
      <w:pPr>
        <w:spacing w:before="0" w:after="80" w:line="252" w:lineRule="auto"/>
      </w:pPr>
      <w:r>
        <w:rPr>
          <w:rFonts w:ascii="Cambria" w:hAnsi="Cambria" w:eastAsia="Cambria"/>
          <w:i w:val="0"/>
          <w:sz w:val="20"/>
        </w:rPr>
        <w:t>A missing approval, uncontrolled operational copy, inaccessible critical record, suspected unauthorized alteration, overdue privacy-critical document or disputed retention requirement is escalated to the Privacy / PIMS Manager and relevant owner. Material legal or contractual uncertainty is referred to the designated legal/compliance authority before the document is released or records are disposed.</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27701:2025</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information management systems — requirements and guidance. Current published Edition 2; may be implemented as a standalone PIMS or integrated with other management systems.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https://committee.iso.org/standard/27701</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27001:2022</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Information security management systems — requirements. Relevant when privacy management is integrated with an ISMS.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https://committee.iso.org/standard/27001</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privacy obligations</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Verified laws, regulations, regulator guidance, contracts, customer commitments and sector requirements applicable to the organization.</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[AUTHORITATIVE EXTERNAL SOURCES / LEGAL REGISTER]</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PIMS repository</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Controlled policies, processing inventory, risk assessments, privacy notices, requests, supplier records, incidents, monitoring, audit and management-review evidence.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CONTROLLED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Privacy / PIMS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 / Authorized Approver</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Documented Information Procedure</w:t>
          </w:r>
        </w:p>
      </w:tc>
      <w:tc>
        <w:tcPr>
          <w:tcW w:type="dxa" w:w="2324"/>
          <w:tcMar>
            <w:top w:w="20" w:type="dxa"/>
            <w:left w:w="40" w:type="dxa"/>
            <w:bottom w:w="20" w:type="dxa"/>
            <w:right w:w="40" w:type="dxa"/>
          </w:tcMar>
        </w:tcPr>
        <w:p>
          <w:pPr>
            <w:jc w:val="right"/>
          </w:pPr>
          <w:r>
            <w:rPr>
              <w:rFonts w:ascii="Cambria" w:hAnsi="Cambria" w:eastAsia="Cambria"/>
              <w:b/>
              <w:color w:val="666666"/>
              <w:sz w:val="16"/>
            </w:rPr>
            <w:t>PIMS-PRO-002</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