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SERVICE POLICY, OBJECTIVES &amp; INDICATORS GUIDANCE</w:t>
      </w:r>
    </w:p>
    <w:p>
      <w:pPr>
        <w:spacing w:after="120"/>
      </w:pPr>
      <w:r>
        <w:rPr>
          <w:rFonts w:ascii="Cambria" w:hAnsi="Cambria" w:eastAsia="Cambria"/>
          <w:b/>
          <w:sz w:val="23"/>
        </w:rPr>
        <w:t>ISO 18295-1:2017 / ISO 18295-2:2017</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Service Management Lead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Senior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creating a customer contact centre service policy, translating policy commitments into measurable objectives, and selecting balanced indicators that support customer outcomes and management decisions.</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Targets in this document are not ISO 18295 requirements. Set organization-specific targets using customer needs, contractual commitments, risk, historical performance, capacity and approved management decisions.</w:t>
            </w:r>
          </w:p>
        </w:tc>
      </w:tr>
    </w:tbl>
    <w:p>
      <w:pPr>
        <w:spacing w:after="20"/>
      </w:pPr>
    </w:p>
    <w:p>
      <w:pPr>
        <w:pStyle w:val="Heading1"/>
        <w:keepNext/>
        <w:spacing w:before="120" w:after="60" w:line="252" w:lineRule="auto"/>
      </w:pPr>
      <w:r>
        <w:rPr>
          <w:rFonts w:ascii="Cambria" w:hAnsi="Cambria" w:eastAsia="Cambria"/>
          <w:b/>
          <w:color w:val="1F4E79"/>
          <w:sz w:val="24"/>
        </w:rPr>
        <w:t>2. Service Policy Design</w:t>
      </w:r>
    </w:p>
    <w:p>
      <w:pPr>
        <w:spacing w:before="0" w:after="80" w:line="252" w:lineRule="auto"/>
      </w:pPr>
      <w:r>
        <w:rPr>
          <w:rFonts w:ascii="Cambria" w:hAnsi="Cambria" w:eastAsia="Cambria"/>
          <w:i w:val="0"/>
          <w:sz w:val="20"/>
        </w:rPr>
        <w:t>A service policy should be short enough to communicate, broad enough to guide decisions and specific enough to establish accountable commitments. It should fit the organization’s purpose, service model and customers rather than repeat ISO wording.</w:t>
      </w:r>
    </w:p>
    <w:tbl>
      <w:tblPr>
        <w:tblW w:type="auto" w:w="0"/>
        <w:jc w:val="center"/>
        <w:tblLayout w:type="fixed"/>
        <w:tblLook w:val="04A0"/>
      </w:tblPr>
      <w:tblGrid>
        <w:gridCol w:w="4677"/>
        <w:gridCol w:w="4677"/>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Policy Element</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Practical Guidance</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Customer focus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 to accessible, accurate, respectful and consistent service appropriate to customer needs.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requirements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 to understanding and controlling customer, client/business-owner and applicable service requirements.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Competence</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 to providing competent people, useful knowledge and appropriate support.</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 consistency</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 to monitoring interaction quality and addressing recurring weaknesses.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Performance / resources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 to using reliable measures and sufficient resources to manage service delivery.</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Complaints / feedback</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 to learning from customer dissatisfaction, complaints and feedback.</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Improvement</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 to correcting failures and continually improving service capability and customer outcomes.</w:t>
            </w:r>
          </w:p>
        </w:tc>
      </w:tr>
    </w:tbl>
    <w:p>
      <w:pPr>
        <w:pStyle w:val="Heading1"/>
        <w:keepNext/>
        <w:spacing w:before="120" w:after="60" w:line="252" w:lineRule="auto"/>
      </w:pPr>
      <w:r>
        <w:rPr>
          <w:rFonts w:ascii="Cambria" w:hAnsi="Cambria" w:eastAsia="Cambria"/>
          <w:b/>
          <w:color w:val="1F4E79"/>
          <w:sz w:val="24"/>
        </w:rPr>
        <w:t>3. From Policy to Objectives</w:t>
      </w:r>
    </w:p>
    <w:p>
      <w:pPr>
        <w:pStyle w:val="ListBullet"/>
        <w:spacing w:before="0" w:after="50" w:line="252" w:lineRule="auto"/>
      </w:pPr>
      <w:r>
        <w:rPr>
          <w:rFonts w:ascii="Cambria" w:hAnsi="Cambria" w:eastAsia="Cambria"/>
          <w:sz w:val="20"/>
        </w:rPr>
        <w:t>Start with a policy commitment and identify the outcome management wants to improve or maintain.</w:t>
      </w:r>
    </w:p>
    <w:p>
      <w:pPr>
        <w:pStyle w:val="ListBullet"/>
        <w:spacing w:before="0" w:after="50" w:line="252" w:lineRule="auto"/>
      </w:pPr>
      <w:r>
        <w:rPr>
          <w:rFonts w:ascii="Cambria" w:hAnsi="Cambria" w:eastAsia="Cambria"/>
          <w:sz w:val="20"/>
        </w:rPr>
        <w:t>Choose an objective that can be influenced by defined service controls and accountable owners.</w:t>
      </w:r>
    </w:p>
    <w:p>
      <w:pPr>
        <w:pStyle w:val="ListBullet"/>
        <w:spacing w:before="0" w:after="50" w:line="252" w:lineRule="auto"/>
      </w:pPr>
      <w:r>
        <w:rPr>
          <w:rFonts w:ascii="Cambria" w:hAnsi="Cambria" w:eastAsia="Cambria"/>
          <w:sz w:val="20"/>
        </w:rPr>
        <w:t>Select one or more indicators that show progress without creating incentives for undesirable behaviour.</w:t>
      </w:r>
    </w:p>
    <w:p>
      <w:pPr>
        <w:pStyle w:val="ListBullet"/>
        <w:spacing w:before="0" w:after="50" w:line="252" w:lineRule="auto"/>
      </w:pPr>
      <w:r>
        <w:rPr>
          <w:rFonts w:ascii="Cambria" w:hAnsi="Cambria" w:eastAsia="Cambria"/>
          <w:sz w:val="20"/>
        </w:rPr>
        <w:t>Set a target, review frequency and escalation threshold appropriate to the service and customer risk.</w:t>
      </w:r>
    </w:p>
    <w:p>
      <w:pPr>
        <w:pStyle w:val="ListBullet"/>
        <w:spacing w:before="0" w:after="50" w:line="252" w:lineRule="auto"/>
      </w:pPr>
      <w:r>
        <w:rPr>
          <w:rFonts w:ascii="Cambria" w:hAnsi="Cambria" w:eastAsia="Cambria"/>
          <w:sz w:val="20"/>
        </w:rPr>
        <w:t>Review objectives when service scope, channels, customer needs, technology, outsourcing or contractual commitments change.</w:t>
      </w:r>
    </w:p>
    <w:p>
      <w:pPr>
        <w:pStyle w:val="Heading1"/>
        <w:keepNext/>
        <w:spacing w:before="120" w:after="60" w:line="252" w:lineRule="auto"/>
      </w:pPr>
      <w:r>
        <w:rPr>
          <w:rFonts w:ascii="Cambria" w:hAnsi="Cambria" w:eastAsia="Cambria"/>
          <w:b/>
          <w:color w:val="1F4E79"/>
          <w:sz w:val="24"/>
        </w:rPr>
        <w:t>4. Balanced Indicator Families</w:t>
      </w:r>
    </w:p>
    <w:tbl>
      <w:tblPr>
        <w:tblW w:type="auto" w:w="0"/>
        <w:jc w:val="center"/>
        <w:tblLayout w:type="fixed"/>
        <w:tblLook w:val="04A0"/>
      </w:tblPr>
      <w:tblGrid>
        <w:gridCol w:w="3118"/>
        <w:gridCol w:w="3118"/>
        <w:gridCol w:w="3118"/>
      </w:tblGrid>
      <w:tr>
        <w:trPr>
          <w:tblHeader w:val="true"/>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Indicator Family</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Examples</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With Caution</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Customer outcomes</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Customer satisfaction/feedback trend; complaint rate/theme; repeat-contact trend; resolution indicator</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Survey bias; complaint under-capture; inconsistent reason coding</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Accessibility / responsiveness</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Answer/response time; abandonment; backlog; channel availability</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Targets can drive rushed interactions if isolated from quality</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Quality</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QA score; critical error rate; calibration variance; knowledge accuracy</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Sampling must be representative and criteria controlled</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Workforce / competence</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Forecast accuracy; schedule adherence; competence completion; coaching closure</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Activity measures do not automatically equal service quality</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Efficiency</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Handling time; after-contact work; productivity; cost per contact</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Avoid incentives that reduce accuracy or customer understanding</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Reliability / continuity</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Platform availability; outage minutes; recovery performance</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Define measurement scope and exclusions consistently</w:t>
            </w:r>
          </w:p>
        </w:tc>
      </w:tr>
    </w:tbl>
    <w:p>
      <w:pPr>
        <w:pStyle w:val="Heading1"/>
        <w:keepNext/>
        <w:spacing w:before="120" w:after="60" w:line="252" w:lineRule="auto"/>
      </w:pPr>
      <w:r>
        <w:rPr>
          <w:rFonts w:ascii="Cambria" w:hAnsi="Cambria" w:eastAsia="Cambria"/>
          <w:b/>
          <w:color w:val="1F4E79"/>
          <w:sz w:val="24"/>
        </w:rPr>
        <w:t>5. KPI Definition Standard</w:t>
      </w:r>
    </w:p>
    <w:tbl>
      <w:tblPr>
        <w:tblW w:type="auto" w:w="0"/>
        <w:jc w:val="center"/>
        <w:tblLayout w:type="fixed"/>
        <w:tblLook w:val="04A0"/>
      </w:tblPr>
      <w:tblGrid>
        <w:gridCol w:w="4677"/>
        <w:gridCol w:w="4677"/>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Required Definition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KPI Name</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Clear business name and unique identifier if used in formal reporting.</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Purpose</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Why the metric is monitored and what decision it supports.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Formula</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Exact numerator, denominator, time basis and units.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Data Source</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System/report/table of record and extraction owner.</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Inclusions / Exclusions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rules applied consistently across periods.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Frequency</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Data collection and reporting frequency.</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Owner</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 accountable for accuracy and interpretation.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Target / Threshold</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target, warning threshold or control limit where useful.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Validation</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Reconciliation, spot check or other data-quality control.</w:t>
            </w:r>
          </w:p>
        </w:tc>
      </w:tr>
    </w:tbl>
    <w:p>
      <w:pPr>
        <w:pStyle w:val="Heading1"/>
        <w:keepNext/>
        <w:spacing w:before="120" w:after="60" w:line="252" w:lineRule="auto"/>
      </w:pPr>
      <w:r>
        <w:rPr>
          <w:rFonts w:ascii="Cambria" w:hAnsi="Cambria" w:eastAsia="Cambria"/>
          <w:b/>
          <w:color w:val="1F4E79"/>
          <w:sz w:val="24"/>
        </w:rPr>
        <w:t>6. Illustrative Objectives and Indicators</w:t>
      </w:r>
    </w:p>
    <w:tbl>
      <w:tblPr>
        <w:tblW w:type="auto" w:w="0"/>
        <w:jc w:val="center"/>
        <w:tblLayout w:type="fixed"/>
        <w:tblLook w:val="04A0"/>
      </w:tblPr>
      <w:tblGrid>
        <w:gridCol w:w="1871"/>
        <w:gridCol w:w="1871"/>
        <w:gridCol w:w="1871"/>
        <w:gridCol w:w="1871"/>
        <w:gridCol w:w="1871"/>
      </w:tblGrid>
      <w:tr>
        <w:trPr>
          <w:tblHeader w:val="true"/>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Policy Commitment</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Illustrative Objective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Illustrative Indicator</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Illustrative Review Logic</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Accurate and consistent service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Reduce repeat contacts caused by incorrect or incomplete guidance.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Repeat-contact rate for defined avoidable reasons; related QA critical-error trend.</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monthly with knowledge and coaching themes.</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Accessible service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Improve timely access to priority customer support.</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Priority queue response / abandonment by interval.</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weekly; investigate sustained adverse intervals.</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Competent people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Improve competence for a new digital channel before scale-up.</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Competence completion plus post-training QA result.</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during rollout; escalate if authorization criteria are not met.</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Reliable quality controls</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Improve consistency between quality evaluators.</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Calibration variance / disagreement rate.</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each calibration cycle; trigger retraining above approved threshold.</w:t>
            </w:r>
          </w:p>
        </w:tc>
      </w:tr>
      <w:tr>
        <w:trPr>
          <w:cantSplit/>
        </w:trPr>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Effective complaint learning</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Reduce recurrence of a verified complaint theme.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Complaint theme trend plus corrective-action effectiveness sample.</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Review monthly until sustained control is demonstrated.</w:t>
            </w:r>
          </w:p>
        </w:tc>
      </w:tr>
    </w:tbl>
    <w:p>
      <w:pPr>
        <w:pStyle w:val="Heading1"/>
        <w:keepNext/>
        <w:spacing w:before="120" w:after="60" w:line="252" w:lineRule="auto"/>
      </w:pPr>
      <w:r>
        <w:rPr>
          <w:rFonts w:ascii="Cambria" w:hAnsi="Cambria" w:eastAsia="Cambria"/>
          <w:b/>
          <w:color w:val="1F4E79"/>
          <w:sz w:val="24"/>
        </w:rPr>
        <w:t>7. Target-Setting Guidance</w:t>
      </w:r>
    </w:p>
    <w:p>
      <w:pPr>
        <w:pStyle w:val="ListBullet"/>
        <w:spacing w:before="0" w:after="50" w:line="252" w:lineRule="auto"/>
      </w:pPr>
      <w:r>
        <w:rPr>
          <w:rFonts w:ascii="Cambria" w:hAnsi="Cambria" w:eastAsia="Cambria"/>
          <w:sz w:val="20"/>
        </w:rPr>
        <w:t>Use historical performance and known demand patterns where available; do not select arbitrary “best practice” numbers without context.</w:t>
      </w:r>
    </w:p>
    <w:p>
      <w:pPr>
        <w:pStyle w:val="ListBullet"/>
        <w:spacing w:before="0" w:after="50" w:line="252" w:lineRule="auto"/>
      </w:pPr>
      <w:r>
        <w:rPr>
          <w:rFonts w:ascii="Cambria" w:hAnsi="Cambria" w:eastAsia="Cambria"/>
          <w:sz w:val="20"/>
        </w:rPr>
        <w:t>Confirm that targets are technically measurable and that source data can be reproduced.</w:t>
      </w:r>
    </w:p>
    <w:p>
      <w:pPr>
        <w:pStyle w:val="ListBullet"/>
        <w:spacing w:before="0" w:after="50" w:line="252" w:lineRule="auto"/>
      </w:pPr>
      <w:r>
        <w:rPr>
          <w:rFonts w:ascii="Cambria" w:hAnsi="Cambria" w:eastAsia="Cambria"/>
          <w:sz w:val="20"/>
        </w:rPr>
        <w:t>Where a contractual target exists, retain the contract/SLA as the authoritative source and document calculation rules.</w:t>
      </w:r>
    </w:p>
    <w:p>
      <w:pPr>
        <w:pStyle w:val="ListBullet"/>
        <w:spacing w:before="0" w:after="50" w:line="252" w:lineRule="auto"/>
      </w:pPr>
      <w:r>
        <w:rPr>
          <w:rFonts w:ascii="Cambria" w:hAnsi="Cambria" w:eastAsia="Cambria"/>
          <w:sz w:val="20"/>
        </w:rPr>
        <w:t>Where customer harm or critical error is involved, use appropriate escalation thresholds even if the overall average remains acceptable.</w:t>
      </w:r>
    </w:p>
    <w:p>
      <w:pPr>
        <w:pStyle w:val="ListBullet"/>
        <w:spacing w:before="0" w:after="50" w:line="252" w:lineRule="auto"/>
      </w:pPr>
      <w:r>
        <w:rPr>
          <w:rFonts w:ascii="Cambria" w:hAnsi="Cambria" w:eastAsia="Cambria"/>
          <w:sz w:val="20"/>
        </w:rPr>
        <w:t>Avoid using a single productivity target that encourages unnecessary call termination, transfer or incomplete resolution.</w:t>
      </w:r>
    </w:p>
    <w:p>
      <w:pPr>
        <w:pStyle w:val="Heading1"/>
        <w:keepNext/>
        <w:spacing w:before="120" w:after="60" w:line="252" w:lineRule="auto"/>
      </w:pPr>
      <w:r>
        <w:rPr>
          <w:rFonts w:ascii="Cambria" w:hAnsi="Cambria" w:eastAsia="Cambria"/>
          <w:b/>
          <w:color w:val="1F4E79"/>
          <w:sz w:val="24"/>
        </w:rPr>
        <w:t>8. Review and Governance</w:t>
      </w:r>
    </w:p>
    <w:p>
      <w:pPr>
        <w:spacing w:before="0" w:after="80" w:line="252" w:lineRule="auto"/>
      </w:pPr>
      <w:r>
        <w:rPr>
          <w:rFonts w:ascii="Cambria" w:hAnsi="Cambria" w:eastAsia="Cambria"/>
          <w:i w:val="0"/>
          <w:sz w:val="20"/>
        </w:rPr>
        <w:t>Review policy suitability and service objectives through planned management review. KPI definitions are controlled documented information; material changes to calculation, source, target or exclusions should be approved, dated and explained so trend interpretation remains reliable.</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Management Lead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Senior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Service Policy, Objectives &amp; Indicators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CCC-GOV-005</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