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body>
    <w:p>
      <w:pPr>
        <w:spacing w:before="60" w:after="80"/>
        <w:pBdr>
          <w:bottom w:val="single" w:sz="8" w:color="1F4E79" w:space="4"/>
        </w:pBdr>
      </w:pPr>
      <w:r>
        <w:rPr>
          <w:rFonts w:ascii="Cambria" w:hAnsi="Cambria" w:eastAsia="Cambria"/>
          <w:b/>
          <w:color w:val="1F4E79"/>
          <w:sz w:val="40"/>
        </w:rPr>
        <w:t>SERVICE MANAGEMENT SYSTEM GUIDANCE</w:t>
      </w:r>
    </w:p>
    <w:p>
      <w:pPr>
        <w:spacing w:after="120"/>
      </w:pPr>
      <w:r>
        <w:rPr>
          <w:rFonts w:ascii="Cambria" w:hAnsi="Cambria" w:eastAsia="Cambria"/>
          <w:b/>
          <w:sz w:val="23"/>
        </w:rPr>
        <w:t>ISO 18295-1:2017 / ISO 18295-2:2017</w:t>
      </w:r>
    </w:p>
    <w:tbl>
      <w:tblPr>
        <w:tblW w:type="auto" w:w="0"/>
        <w:jc w:val="center"/>
        <w:tblLayout w:type="fixed"/>
        <w:tblLook w:val="04A0"/>
      </w:tblPr>
      <w:tblGrid>
        <w:gridCol w:w="4677"/>
        <w:gridCol w:w="4677"/>
      </w:tblGrid>
      <w:tr>
        <w:trPr>
          <w:tblHeader w:val="true"/>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Document Owner</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Approver</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Service Management Lead</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Senior Management</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Classification: INTERNAL</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Next Review: 2027-09-18</w:t>
            </w:r>
          </w:p>
        </w:tc>
      </w:tr>
    </w:tbl>
    <w:p>
      <w:pPr>
        <w:spacing w:after="40"/>
      </w:pPr>
    </w:p>
    <w:p>
      <w:pPr>
        <w:pStyle w:val="Heading1"/>
        <w:keepNext/>
        <w:spacing w:before="120" w:after="60" w:line="252" w:lineRule="auto"/>
      </w:pPr>
      <w:r>
        <w:rPr>
          <w:rFonts w:ascii="Cambria" w:hAnsi="Cambria" w:eastAsia="Cambria"/>
          <w:b/>
          <w:color w:val="1F4E79"/>
          <w:sz w:val="24"/>
        </w:rPr>
        <w:t>1. Purpose</w:t>
      </w:r>
    </w:p>
    <w:p>
      <w:pPr>
        <w:spacing w:before="0" w:after="80" w:line="252" w:lineRule="auto"/>
      </w:pPr>
      <w:r>
        <w:rPr>
          <w:rFonts w:ascii="Cambria" w:hAnsi="Cambria" w:eastAsia="Cambria"/>
          <w:i w:val="0"/>
          <w:sz w:val="20"/>
        </w:rPr>
        <w:t>Provide a practical operating guide for establishing, maintaining and improving a customer contact centre service management system aligned with ISO 18295-1:2017 and, where applicable, ISO 18295-2:2017.</w:t>
      </w:r>
    </w:p>
    <w:tbl>
      <w:tblPr>
        <w:tblW w:type="auto" w:w="0"/>
        <w:jc w:val="center"/>
        <w:tblLayout w:type="autofit"/>
        <w:tblLook w:val="04A0"/>
      </w:tblPr>
      <w:tblGrid>
        <w:gridCol w:w="9355"/>
      </w:tblGrid>
      <w:tr>
        <w:trPr>
          <w:cantSplit/>
        </w:trPr>
        <w:tc>
          <w:tcPr>
            <w:tcW w:type="dxa" w:w="9355"/>
            <w:tcBorders>
              <w:top w:val="single" w:sz="3" w:space="0" w:color="E6D690"/>
              <w:left w:val="single" w:sz="3" w:space="0" w:color="E6D690"/>
              <w:bottom w:val="single" w:sz="3" w:space="0" w:color="E6D690"/>
              <w:right w:val="single" w:sz="3" w:space="0" w:color="E6D690"/>
              <w:insideH w:val="single" w:sz="3" w:space="0" w:color="E6D690"/>
              <w:insideV w:val="single" w:sz="3" w:space="0" w:color="E6D690"/>
            </w:tcBorders>
            <w:shd w:fill="FFF2CC" w:val="clear"/>
            <w:tcMar>
              <w:top w:w="70" w:type="dxa"/>
              <w:left w:w="90" w:type="dxa"/>
              <w:bottom w:w="70" w:type="dxa"/>
              <w:right w:w="90" w:type="dxa"/>
            </w:tcMar>
          </w:tcPr>
          <w:p>
            <w:pPr>
              <w:keepLines/>
              <w:spacing w:before="0" w:after="0" w:line="252" w:lineRule="auto"/>
            </w:pPr>
            <w:r>
              <w:rPr>
                <w:rFonts w:ascii="Cambria" w:hAnsi="Cambria" w:eastAsia="Cambria"/>
                <w:b/>
                <w:i/>
                <w:color w:val="C00000"/>
                <w:sz w:val="18"/>
              </w:rPr>
              <w:t xml:space="preserve">[Note] </w:t>
            </w:r>
            <w:r>
              <w:rPr>
                <w:rFonts w:ascii="Cambria" w:hAnsi="Cambria" w:eastAsia="Cambria"/>
                <w:i/>
                <w:color w:val="C00000"/>
                <w:sz w:val="18"/>
              </w:rPr>
              <w:t>ISO 18295-1:2017 and ISO 18295-2:2017 remain published while Edition 2 projects are under development. Maintain a standards-monitoring trigger so the service management system can be reviewed when replacement editions are published.</w:t>
            </w:r>
          </w:p>
        </w:tc>
      </w:tr>
    </w:tbl>
    <w:p>
      <w:pPr>
        <w:spacing w:after="20"/>
      </w:pPr>
    </w:p>
    <w:p>
      <w:pPr>
        <w:pStyle w:val="Heading1"/>
        <w:keepNext/>
        <w:spacing w:before="120" w:after="60" w:line="252" w:lineRule="auto"/>
      </w:pPr>
      <w:r>
        <w:rPr>
          <w:rFonts w:ascii="Cambria" w:hAnsi="Cambria" w:eastAsia="Cambria"/>
          <w:b/>
          <w:color w:val="1F4E79"/>
          <w:sz w:val="24"/>
        </w:rPr>
        <w:t>2. Define the Service Management System Boundary</w:t>
      </w:r>
    </w:p>
    <w:tbl>
      <w:tblPr>
        <w:tblW w:type="auto" w:w="0"/>
        <w:jc w:val="center"/>
        <w:tblLayout w:type="fixed"/>
        <w:tblLook w:val="04A0"/>
      </w:tblPr>
      <w:tblGrid>
        <w:gridCol w:w="4677"/>
        <w:gridCol w:w="4677"/>
      </w:tblGrid>
      <w:tr>
        <w:trPr>
          <w:tblHeader w:val="true"/>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Element</w:t>
            </w:r>
          </w:p>
        </w:tc>
        <w:tc>
          <w:tcPr>
            <w:tcW w:type="dxa" w:w="697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Define and Control</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Service purpose</w:t>
            </w:r>
          </w:p>
        </w:tc>
        <w:tc>
          <w:tcPr>
            <w:tcW w:type="dxa" w:w="697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Why the contact centre exists, customer groups, business outcomes and service commitments.</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Operating model</w:t>
            </w:r>
          </w:p>
        </w:tc>
        <w:tc>
          <w:tcPr>
            <w:tcW w:type="dxa" w:w="697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In-house, outsourced or hybrid model; organizational interfaces and decision authority.</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Channels</w:t>
            </w:r>
          </w:p>
        </w:tc>
        <w:tc>
          <w:tcPr>
            <w:tcW w:type="dxa" w:w="697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Voice and applicable non-voice channels such as email, chat, social, messaging or web forms.</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Locations / teams</w:t>
            </w:r>
          </w:p>
        </w:tc>
        <w:tc>
          <w:tcPr>
            <w:tcW w:type="dxa" w:w="697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Sites, remote teams, suppliers, language groups and operating hours.</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Client relationship</w:t>
            </w:r>
          </w:p>
        </w:tc>
        <w:tc>
          <w:tcPr>
            <w:tcW w:type="dxa" w:w="697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Where services are provided for another organization, clarify client requirements, governance and change approval.</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Applicable obligations</w:t>
            </w:r>
          </w:p>
        </w:tc>
        <w:tc>
          <w:tcPr>
            <w:tcW w:type="dxa" w:w="697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Contractual, privacy, recording, accessibility, sector and other requirements verified from authoritative sources.</w:t>
            </w:r>
          </w:p>
        </w:tc>
      </w:tr>
    </w:tbl>
    <w:p>
      <w:pPr>
        <w:pStyle w:val="Heading1"/>
        <w:keepNext/>
        <w:spacing w:before="120" w:after="60" w:line="252" w:lineRule="auto"/>
      </w:pPr>
      <w:r>
        <w:rPr>
          <w:rFonts w:ascii="Cambria" w:hAnsi="Cambria" w:eastAsia="Cambria"/>
          <w:b/>
          <w:color w:val="1F4E79"/>
          <w:sz w:val="24"/>
        </w:rPr>
        <w:t>3. Governance and Accountability</w:t>
      </w:r>
    </w:p>
    <w:p>
      <w:pPr>
        <w:pStyle w:val="ListBullet"/>
        <w:spacing w:before="0" w:after="50" w:line="252" w:lineRule="auto"/>
      </w:pPr>
      <w:r>
        <w:rPr>
          <w:rFonts w:ascii="Cambria" w:hAnsi="Cambria" w:eastAsia="Cambria"/>
          <w:sz w:val="20"/>
        </w:rPr>
        <w:t>Assign a senior accountable owner for the service and a service-management lead for day-to-day system coordination.</w:t>
      </w:r>
    </w:p>
    <w:p>
      <w:pPr>
        <w:pStyle w:val="ListBullet"/>
        <w:spacing w:before="0" w:after="50" w:line="252" w:lineRule="auto"/>
      </w:pPr>
      <w:r>
        <w:rPr>
          <w:rFonts w:ascii="Cambria" w:hAnsi="Cambria" w:eastAsia="Cambria"/>
          <w:sz w:val="20"/>
        </w:rPr>
        <w:t>Define ownership for customer experience, operations, workforce, quality, training, knowledge, technology, complaints, supplier management and data reporting.</w:t>
      </w:r>
    </w:p>
    <w:p>
      <w:pPr>
        <w:pStyle w:val="ListBullet"/>
        <w:spacing w:before="0" w:after="50" w:line="252" w:lineRule="auto"/>
      </w:pPr>
      <w:r>
        <w:rPr>
          <w:rFonts w:ascii="Cambria" w:hAnsi="Cambria" w:eastAsia="Cambria"/>
          <w:sz w:val="20"/>
        </w:rPr>
        <w:t>Establish escalation thresholds for material customer impact, service failure, privacy/security concern, regulatory risk and repeated performance deterioration.</w:t>
      </w:r>
    </w:p>
    <w:p>
      <w:pPr>
        <w:pStyle w:val="ListBullet"/>
        <w:spacing w:before="0" w:after="50" w:line="252" w:lineRule="auto"/>
      </w:pPr>
      <w:r>
        <w:rPr>
          <w:rFonts w:ascii="Cambria" w:hAnsi="Cambria" w:eastAsia="Cambria"/>
          <w:sz w:val="20"/>
        </w:rPr>
        <w:t>Use management review to make decisions that require cross-functional resources or changes to the operating model.</w:t>
      </w:r>
    </w:p>
    <w:p>
      <w:pPr>
        <w:pStyle w:val="Heading1"/>
        <w:keepNext/>
        <w:spacing w:before="120" w:after="60" w:line="252" w:lineRule="auto"/>
      </w:pPr>
      <w:r>
        <w:rPr>
          <w:rFonts w:ascii="Cambria" w:hAnsi="Cambria" w:eastAsia="Cambria"/>
          <w:b/>
          <w:color w:val="1F4E79"/>
          <w:sz w:val="24"/>
        </w:rPr>
        <w:t>4. Translate Requirements into Service Controls</w:t>
      </w:r>
    </w:p>
    <w:tbl>
      <w:tblPr>
        <w:tblW w:type="auto" w:w="0"/>
        <w:jc w:val="center"/>
        <w:tblLayout w:type="fixed"/>
        <w:tblLook w:val="04A0"/>
      </w:tblPr>
      <w:tblGrid>
        <w:gridCol w:w="4677"/>
        <w:gridCol w:w="4677"/>
      </w:tblGrid>
      <w:tr>
        <w:trPr>
          <w:tblHeader w:val="true"/>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Control Domain</w:t>
            </w:r>
          </w:p>
        </w:tc>
        <w:tc>
          <w:tcPr>
            <w:tcW w:type="dxa" w:w="69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Minimum Practical Outputs</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Customer access</w:t>
            </w:r>
          </w:p>
        </w:tc>
        <w:tc>
          <w:tcPr>
            <w:tcW w:type="dxa" w:w="69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Channel availability, hours, published contact information, accessibility and routing rules.</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Interaction handling</w:t>
            </w:r>
          </w:p>
        </w:tc>
        <w:tc>
          <w:tcPr>
            <w:tcW w:type="dxa" w:w="69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Authentication/identification where required, listening/clarification, accurate information, transfer/escalation and closure rules.</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Knowledge management</w:t>
            </w:r>
          </w:p>
        </w:tc>
        <w:tc>
          <w:tcPr>
            <w:tcW w:type="dxa" w:w="69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Approved knowledge sources, ownership, review triggers, urgent updates and obsolete-content controls.</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Workforce management</w:t>
            </w:r>
          </w:p>
        </w:tc>
        <w:tc>
          <w:tcPr>
            <w:tcW w:type="dxa" w:w="69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Demand forecast, staffing model, schedule, real-time response and capacity escalation.</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Competence / coaching</w:t>
            </w:r>
          </w:p>
        </w:tc>
        <w:tc>
          <w:tcPr>
            <w:tcW w:type="dxa" w:w="69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Role profiles, induction, competence assessment, refresher training, coaching and evidence.</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Quality assurance</w:t>
            </w:r>
          </w:p>
        </w:tc>
        <w:tc>
          <w:tcPr>
            <w:tcW w:type="dxa" w:w="69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Sampling, evaluation criteria, critical-error treatment, calibration and action follow-up.</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Complaints / escalations</w:t>
            </w:r>
          </w:p>
        </w:tc>
        <w:tc>
          <w:tcPr>
            <w:tcW w:type="dxa" w:w="69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Recognition, ownership, escalation, communication, investigation and closure evidence.</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Technology / continuity</w:t>
            </w:r>
          </w:p>
        </w:tc>
        <w:tc>
          <w:tcPr>
            <w:tcW w:type="dxa" w:w="69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Availability, change control, support, outage response, alternate arrangements and recovery priorities.</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Supplier / client governance</w:t>
            </w:r>
          </w:p>
        </w:tc>
        <w:tc>
          <w:tcPr>
            <w:tcW w:type="dxa" w:w="69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Requirements, SLA, monitoring, issues, approvals and change coordination.</w:t>
            </w:r>
          </w:p>
        </w:tc>
      </w:tr>
    </w:tbl>
    <w:p>
      <w:pPr>
        <w:pStyle w:val="Heading1"/>
        <w:keepNext/>
        <w:spacing w:before="120" w:after="60" w:line="252" w:lineRule="auto"/>
      </w:pPr>
      <w:r>
        <w:rPr>
          <w:rFonts w:ascii="Cambria" w:hAnsi="Cambria" w:eastAsia="Cambria"/>
          <w:b/>
          <w:color w:val="1F4E79"/>
          <w:sz w:val="24"/>
        </w:rPr>
        <w:t>5. Manage Customer Experience as an Operating Outcome</w:t>
      </w:r>
    </w:p>
    <w:p>
      <w:pPr>
        <w:pStyle w:val="ListBullet"/>
        <w:spacing w:before="0" w:after="50" w:line="252" w:lineRule="auto"/>
      </w:pPr>
      <w:r>
        <w:rPr>
          <w:rFonts w:ascii="Cambria" w:hAnsi="Cambria" w:eastAsia="Cambria"/>
          <w:sz w:val="20"/>
        </w:rPr>
        <w:t>Define customer needs and service expectations from research, feedback, complaints, journey analysis and business requirements.</w:t>
      </w:r>
    </w:p>
    <w:p>
      <w:pPr>
        <w:pStyle w:val="ListBullet"/>
        <w:spacing w:before="0" w:after="50" w:line="252" w:lineRule="auto"/>
      </w:pPr>
      <w:r>
        <w:rPr>
          <w:rFonts w:ascii="Cambria" w:hAnsi="Cambria" w:eastAsia="Cambria"/>
          <w:sz w:val="20"/>
        </w:rPr>
        <w:t>Design service channels and processes so customers can access the right service without unnecessary transfer, repetition or delay.</w:t>
      </w:r>
    </w:p>
    <w:p>
      <w:pPr>
        <w:pStyle w:val="ListBullet"/>
        <w:spacing w:before="0" w:after="50" w:line="252" w:lineRule="auto"/>
      </w:pPr>
      <w:r>
        <w:rPr>
          <w:rFonts w:ascii="Cambria" w:hAnsi="Cambria" w:eastAsia="Cambria"/>
          <w:sz w:val="20"/>
        </w:rPr>
        <w:t>Use feedback and interaction evidence to identify recurring points of confusion, avoidable repeat contacts and accessibility barriers.</w:t>
      </w:r>
    </w:p>
    <w:p>
      <w:pPr>
        <w:pStyle w:val="ListBullet"/>
        <w:spacing w:before="0" w:after="50" w:line="252" w:lineRule="auto"/>
      </w:pPr>
      <w:r>
        <w:rPr>
          <w:rFonts w:ascii="Cambria" w:hAnsi="Cambria" w:eastAsia="Cambria"/>
          <w:sz w:val="20"/>
        </w:rPr>
        <w:t>Balance efficiency measures with accuracy, resolution, quality, customer effort and complaint outcomes.</w:t>
      </w:r>
    </w:p>
    <w:p>
      <w:pPr>
        <w:pStyle w:val="Heading1"/>
        <w:keepNext/>
        <w:spacing w:before="120" w:after="60" w:line="252" w:lineRule="auto"/>
      </w:pPr>
      <w:r>
        <w:rPr>
          <w:rFonts w:ascii="Cambria" w:hAnsi="Cambria" w:eastAsia="Cambria"/>
          <w:b/>
          <w:color w:val="1F4E79"/>
          <w:sz w:val="24"/>
        </w:rPr>
        <w:t>6. Workforce, Competence and Engagement</w:t>
      </w:r>
    </w:p>
    <w:p>
      <w:pPr>
        <w:spacing w:before="0" w:after="80" w:line="252" w:lineRule="auto"/>
      </w:pPr>
      <w:r>
        <w:rPr>
          <w:rFonts w:ascii="Cambria" w:hAnsi="Cambria" w:eastAsia="Cambria"/>
          <w:i w:val="0"/>
          <w:sz w:val="20"/>
        </w:rPr>
        <w:t>Service performance depends on having sufficient competent people available when demand occurs. Workforce planning, competence management, coaching and employee feedback should therefore operate as connected processes rather than separate administrative activities.</w:t>
      </w:r>
    </w:p>
    <w:tbl>
      <w:tblPr>
        <w:tblW w:type="auto" w:w="0"/>
        <w:jc w:val="center"/>
        <w:tblLayout w:type="fixed"/>
        <w:tblLook w:val="04A0"/>
      </w:tblPr>
      <w:tblGrid>
        <w:gridCol w:w="4677"/>
        <w:gridCol w:w="4677"/>
      </w:tblGrid>
      <w:tr>
        <w:trPr>
          <w:tblHeader w:val="true"/>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Process</w:t>
            </w:r>
          </w:p>
        </w:tc>
        <w:tc>
          <w:tcPr>
            <w:tcW w:type="dxa" w:w="69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Good Practice Evidence</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Forecasting / capacity</w:t>
            </w:r>
          </w:p>
        </w:tc>
        <w:tc>
          <w:tcPr>
            <w:tcW w:type="dxa" w:w="69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Historical demand, known events, channel mix, interval forecast and assumptions.</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Scheduling</w:t>
            </w:r>
          </w:p>
        </w:tc>
        <w:tc>
          <w:tcPr>
            <w:tcW w:type="dxa" w:w="69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Coverage model, skill requirements, breaks, shrinkage and contingency arrangements.</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Competence</w:t>
            </w:r>
          </w:p>
        </w:tc>
        <w:tc>
          <w:tcPr>
            <w:tcW w:type="dxa" w:w="69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Role requirements, assessment method, induction and authorization to perform relevant tasks.</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Coaching</w:t>
            </w:r>
          </w:p>
        </w:tc>
        <w:tc>
          <w:tcPr>
            <w:tcW w:type="dxa" w:w="69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Evidence-based coaching linked to QA, customer feedback and individual needs.</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Employee feedback</w:t>
            </w:r>
          </w:p>
        </w:tc>
        <w:tc>
          <w:tcPr>
            <w:tcW w:type="dxa" w:w="69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Structured mechanism for front-line observations, recurring defects and knowledge/process improvement.</w:t>
            </w:r>
          </w:p>
        </w:tc>
      </w:tr>
    </w:tbl>
    <w:p>
      <w:pPr>
        <w:pStyle w:val="Heading1"/>
        <w:keepNext/>
        <w:spacing w:before="120" w:after="60" w:line="252" w:lineRule="auto"/>
      </w:pPr>
      <w:r>
        <w:rPr>
          <w:rFonts w:ascii="Cambria" w:hAnsi="Cambria" w:eastAsia="Cambria"/>
          <w:b/>
          <w:color w:val="1F4E79"/>
          <w:sz w:val="24"/>
        </w:rPr>
        <w:t>7. Quality, Knowledge and Performance Data</w:t>
      </w:r>
    </w:p>
    <w:p>
      <w:pPr>
        <w:spacing w:before="0" w:after="80" w:line="252" w:lineRule="auto"/>
      </w:pPr>
      <w:r>
        <w:rPr>
          <w:rFonts w:ascii="Cambria" w:hAnsi="Cambria" w:eastAsia="Cambria"/>
          <w:i w:val="0"/>
          <w:sz w:val="20"/>
        </w:rPr>
        <w:t>Quality assurance, knowledge management and KPI reporting should reinforce each other. Quality findings should identify where process or knowledge content needs change; knowledge changes should be communicated and checked in operations; KPI trends should direct deeper sampling where service risk is increasing.</w:t>
      </w:r>
    </w:p>
    <w:p>
      <w:pPr>
        <w:pStyle w:val="ListBullet"/>
        <w:spacing w:before="0" w:after="50" w:line="252" w:lineRule="auto"/>
      </w:pPr>
      <w:r>
        <w:rPr>
          <w:rFonts w:ascii="Cambria" w:hAnsi="Cambria" w:eastAsia="Cambria"/>
          <w:sz w:val="20"/>
        </w:rPr>
        <w:t>Define each KPI with purpose, data source, calculation, exclusions, frequency, owner and target/threshold where appropriate.</w:t>
      </w:r>
    </w:p>
    <w:p>
      <w:pPr>
        <w:pStyle w:val="ListBullet"/>
        <w:spacing w:before="0" w:after="50" w:line="252" w:lineRule="auto"/>
      </w:pPr>
      <w:r>
        <w:rPr>
          <w:rFonts w:ascii="Cambria" w:hAnsi="Cambria" w:eastAsia="Cambria"/>
          <w:sz w:val="20"/>
        </w:rPr>
        <w:t>Calibrate quality evaluators and investigate material scoring variance.</w:t>
      </w:r>
    </w:p>
    <w:p>
      <w:pPr>
        <w:pStyle w:val="ListBullet"/>
        <w:spacing w:before="0" w:after="50" w:line="252" w:lineRule="auto"/>
      </w:pPr>
      <w:r>
        <w:rPr>
          <w:rFonts w:ascii="Cambria" w:hAnsi="Cambria" w:eastAsia="Cambria"/>
          <w:sz w:val="20"/>
        </w:rPr>
        <w:t>Protect the integrity of interaction samples and prevent selective sampling from distorting conclusions.</w:t>
      </w:r>
    </w:p>
    <w:p>
      <w:pPr>
        <w:pStyle w:val="ListBullet"/>
        <w:spacing w:before="0" w:after="50" w:line="252" w:lineRule="auto"/>
      </w:pPr>
      <w:r>
        <w:rPr>
          <w:rFonts w:ascii="Cambria" w:hAnsi="Cambria" w:eastAsia="Cambria"/>
          <w:sz w:val="20"/>
        </w:rPr>
        <w:t>Control changes to scripts and knowledge that can affect customer commitments, regulated statements or authentication steps.</w:t>
      </w:r>
    </w:p>
    <w:p>
      <w:pPr>
        <w:pStyle w:val="Heading1"/>
        <w:keepNext/>
        <w:spacing w:before="120" w:after="60" w:line="252" w:lineRule="auto"/>
      </w:pPr>
      <w:r>
        <w:rPr>
          <w:rFonts w:ascii="Cambria" w:hAnsi="Cambria" w:eastAsia="Cambria"/>
          <w:b/>
          <w:color w:val="1F4E79"/>
          <w:sz w:val="24"/>
        </w:rPr>
        <w:t>8. Privacy, Recording and Sensitive Information</w:t>
      </w:r>
    </w:p>
    <w:tbl>
      <w:tblPr>
        <w:tblW w:type="auto" w:w="0"/>
        <w:jc w:val="center"/>
        <w:tblLayout w:type="autofit"/>
        <w:tblLook w:val="04A0"/>
      </w:tblPr>
      <w:tblGrid>
        <w:gridCol w:w="9355"/>
      </w:tblGrid>
      <w:tr>
        <w:trPr>
          <w:cantSplit/>
        </w:trPr>
        <w:tc>
          <w:tcPr>
            <w:tcW w:type="dxa" w:w="9355"/>
            <w:tcBorders>
              <w:top w:val="single" w:sz="3" w:space="0" w:color="E6D690"/>
              <w:left w:val="single" w:sz="3" w:space="0" w:color="E6D690"/>
              <w:bottom w:val="single" w:sz="3" w:space="0" w:color="E6D690"/>
              <w:right w:val="single" w:sz="3" w:space="0" w:color="E6D690"/>
              <w:insideH w:val="single" w:sz="3" w:space="0" w:color="E6D690"/>
              <w:insideV w:val="single" w:sz="3" w:space="0" w:color="E6D690"/>
            </w:tcBorders>
            <w:shd w:fill="FFF2CC" w:val="clear"/>
            <w:tcMar>
              <w:top w:w="70" w:type="dxa"/>
              <w:left w:w="90" w:type="dxa"/>
              <w:bottom w:w="70" w:type="dxa"/>
              <w:right w:w="90" w:type="dxa"/>
            </w:tcMar>
          </w:tcPr>
          <w:p>
            <w:pPr>
              <w:keepLines/>
              <w:spacing w:before="0" w:after="0" w:line="252" w:lineRule="auto"/>
            </w:pPr>
            <w:r>
              <w:rPr>
                <w:rFonts w:ascii="Cambria" w:hAnsi="Cambria" w:eastAsia="Cambria"/>
                <w:b/>
                <w:i/>
                <w:color w:val="C00000"/>
                <w:sz w:val="18"/>
              </w:rPr>
              <w:t xml:space="preserve">[Note] </w:t>
            </w:r>
            <w:r>
              <w:rPr>
                <w:rFonts w:ascii="Cambria" w:hAnsi="Cambria" w:eastAsia="Cambria"/>
                <w:i/>
                <w:color w:val="C00000"/>
                <w:sz w:val="18"/>
              </w:rPr>
              <w:t>Privacy, consent/notice, recording, retention and disclosure requirements vary by jurisdiction, contract and sector. Do not adopt generic retention periods or legal statements without verification from authoritative sources.</w:t>
            </w:r>
          </w:p>
        </w:tc>
      </w:tr>
    </w:tbl>
    <w:p>
      <w:pPr>
        <w:spacing w:after="20"/>
      </w:pPr>
    </w:p>
    <w:p>
      <w:pPr>
        <w:spacing w:before="0" w:after="80" w:line="252" w:lineRule="auto"/>
      </w:pPr>
      <w:r>
        <w:rPr>
          <w:rFonts w:ascii="Cambria" w:hAnsi="Cambria" w:eastAsia="Cambria"/>
          <w:i w:val="0"/>
          <w:sz w:val="20"/>
        </w:rPr>
        <w:t>Define approved access to recordings, transcripts, chats, customer identifiers and employee performance information; limit access to business need; retain only for approved periods; and ensure audit, training and review activities use appropriately restricted evidence.</w:t>
      </w:r>
    </w:p>
    <w:p>
      <w:pPr>
        <w:pStyle w:val="Heading1"/>
        <w:keepNext/>
        <w:spacing w:before="120" w:after="60" w:line="252" w:lineRule="auto"/>
      </w:pPr>
      <w:r>
        <w:rPr>
          <w:rFonts w:ascii="Cambria" w:hAnsi="Cambria" w:eastAsia="Cambria"/>
          <w:b/>
          <w:color w:val="1F4E79"/>
          <w:sz w:val="24"/>
        </w:rPr>
        <w:t>9. Outsourced and Client-Managed Services</w:t>
      </w:r>
    </w:p>
    <w:p>
      <w:pPr>
        <w:spacing w:before="0" w:after="80" w:line="252" w:lineRule="auto"/>
      </w:pPr>
      <w:r>
        <w:rPr>
          <w:rFonts w:ascii="Cambria" w:hAnsi="Cambria" w:eastAsia="Cambria"/>
          <w:i w:val="0"/>
          <w:sz w:val="20"/>
        </w:rPr>
        <w:t>Where a contact centre is outsourced, the client remains responsible for clearly defining service requirements, governance, monitoring and change decisions within its role. The service provider should receive controlled requirements, objective performance measures, escalation routes and timely decisions. Material changes should be coordinated so customer commitments remain clear.</w:t>
      </w:r>
    </w:p>
    <w:p>
      <w:pPr>
        <w:pStyle w:val="Heading1"/>
        <w:keepNext/>
        <w:spacing w:before="120" w:after="60" w:line="252" w:lineRule="auto"/>
      </w:pPr>
      <w:r>
        <w:rPr>
          <w:rFonts w:ascii="Cambria" w:hAnsi="Cambria" w:eastAsia="Cambria"/>
          <w:b/>
          <w:color w:val="1F4E79"/>
          <w:sz w:val="24"/>
        </w:rPr>
        <w:t>10. Assurance and Improvement Cycle</w:t>
      </w:r>
    </w:p>
    <w:tbl>
      <w:tblPr>
        <w:tblW w:type="auto" w:w="0"/>
        <w:jc w:val="center"/>
        <w:tblLayout w:type="fixed"/>
        <w:tblLook w:val="04A0"/>
      </w:tblPr>
      <w:tblGrid>
        <w:gridCol w:w="3118"/>
        <w:gridCol w:w="3118"/>
        <w:gridCol w:w="3118"/>
      </w:tblGrid>
      <w:tr>
        <w:trPr>
          <w:tblHeader w:val="true"/>
        </w:trPr>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Activity</w:t>
            </w:r>
          </w:p>
        </w:tc>
        <w:tc>
          <w:tcPr>
            <w:tcW w:type="dxa" w:w="345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Purpose</w:t>
            </w:r>
          </w:p>
        </w:tc>
        <w:tc>
          <w:tcPr>
            <w:tcW w:type="dxa" w:w="368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Typical Output</w:t>
            </w:r>
          </w:p>
        </w:tc>
      </w:tr>
      <w:tr>
        <w:trPr>
          <w:cantSplit/>
        </w:trPr>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Operational monitoring</w:t>
            </w:r>
          </w:p>
        </w:tc>
        <w:tc>
          <w:tcPr>
            <w:tcW w:type="dxa" w:w="345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Detect service variation and emerging issues.</w:t>
            </w:r>
          </w:p>
        </w:tc>
        <w:tc>
          <w:tcPr>
            <w:tcW w:type="dxa" w:w="368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Dashboards, queue / channel reports, issue logs</w:t>
            </w:r>
          </w:p>
        </w:tc>
      </w:tr>
      <w:tr>
        <w:trPr>
          <w:cantSplit/>
        </w:trPr>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Quality monitoring</w:t>
            </w:r>
          </w:p>
        </w:tc>
        <w:tc>
          <w:tcPr>
            <w:tcW w:type="dxa" w:w="345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Evaluate interaction quality and control performance.</w:t>
            </w:r>
          </w:p>
        </w:tc>
        <w:tc>
          <w:tcPr>
            <w:tcW w:type="dxa" w:w="368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QA results, calibration, coaching actions</w:t>
            </w:r>
          </w:p>
        </w:tc>
      </w:tr>
      <w:tr>
        <w:trPr>
          <w:cantSplit/>
        </w:trPr>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Customer feedback / complaints</w:t>
            </w:r>
          </w:p>
        </w:tc>
        <w:tc>
          <w:tcPr>
            <w:tcW w:type="dxa" w:w="345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Identify outcome failures and customer needs.</w:t>
            </w:r>
          </w:p>
        </w:tc>
        <w:tc>
          <w:tcPr>
            <w:tcW w:type="dxa" w:w="368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Trend analysis, complaint actions</w:t>
            </w:r>
          </w:p>
        </w:tc>
      </w:tr>
      <w:tr>
        <w:trPr>
          <w:cantSplit/>
        </w:trPr>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Internal audit</w:t>
            </w:r>
          </w:p>
        </w:tc>
        <w:tc>
          <w:tcPr>
            <w:tcW w:type="dxa" w:w="345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Provide independent or objective assurance over selected controls.</w:t>
            </w:r>
          </w:p>
        </w:tc>
        <w:tc>
          <w:tcPr>
            <w:tcW w:type="dxa" w:w="368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Audit findings and actions</w:t>
            </w:r>
          </w:p>
        </w:tc>
      </w:tr>
      <w:tr>
        <w:trPr>
          <w:cantSplit/>
        </w:trPr>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Management review</w:t>
            </w:r>
          </w:p>
        </w:tc>
        <w:tc>
          <w:tcPr>
            <w:tcW w:type="dxa" w:w="345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Evaluate the whole system and make strategic decisions.</w:t>
            </w:r>
          </w:p>
        </w:tc>
        <w:tc>
          <w:tcPr>
            <w:tcW w:type="dxa" w:w="368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Minutes, decisions, resources and priorities</w:t>
            </w:r>
          </w:p>
        </w:tc>
      </w:tr>
      <w:tr>
        <w:trPr>
          <w:cantSplit/>
        </w:trPr>
        <w:tc>
          <w:tcPr>
            <w:tcW w:type="dxa" w:w="221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Corrective / improvement action</w:t>
            </w:r>
          </w:p>
        </w:tc>
        <w:tc>
          <w:tcPr>
            <w:tcW w:type="dxa" w:w="345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Remove causes of recurring weakness and improve capability.</w:t>
            </w:r>
          </w:p>
        </w:tc>
        <w:tc>
          <w:tcPr>
            <w:tcW w:type="dxa" w:w="368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Verified action closure / updated controls</w:t>
            </w:r>
          </w:p>
        </w:tc>
      </w:tr>
    </w:tbl>
    <w:p>
      <w:pPr>
        <w:pStyle w:val="Heading1"/>
        <w:keepNext/>
        <w:spacing w:before="120" w:after="60" w:line="252" w:lineRule="auto"/>
      </w:pPr>
      <w:r>
        <w:rPr>
          <w:rFonts w:ascii="Cambria" w:hAnsi="Cambria" w:eastAsia="Cambria"/>
          <w:b/>
          <w:color w:val="1F4E79"/>
          <w:sz w:val="24"/>
        </w:rPr>
        <w:t>11. Implementation Sequence</w:t>
      </w:r>
    </w:p>
    <w:p>
      <w:pPr>
        <w:pStyle w:val="ListBullet"/>
        <w:spacing w:before="0" w:after="50" w:line="252" w:lineRule="auto"/>
      </w:pPr>
      <w:r>
        <w:rPr>
          <w:rFonts w:ascii="Cambria" w:hAnsi="Cambria" w:eastAsia="Cambria"/>
          <w:sz w:val="20"/>
        </w:rPr>
        <w:t>1. Confirm scope, service model, channels, customer/client requirements and accountable governance.</w:t>
      </w:r>
    </w:p>
    <w:p>
      <w:pPr>
        <w:pStyle w:val="ListBullet"/>
        <w:spacing w:before="0" w:after="50" w:line="252" w:lineRule="auto"/>
      </w:pPr>
      <w:r>
        <w:rPr>
          <w:rFonts w:ascii="Cambria" w:hAnsi="Cambria" w:eastAsia="Cambria"/>
          <w:sz w:val="20"/>
        </w:rPr>
        <w:t>2. Baseline current controls using the implementation checklist and gap analysis.</w:t>
      </w:r>
    </w:p>
    <w:p>
      <w:pPr>
        <w:pStyle w:val="ListBullet"/>
        <w:spacing w:before="0" w:after="50" w:line="252" w:lineRule="auto"/>
      </w:pPr>
      <w:r>
        <w:rPr>
          <w:rFonts w:ascii="Cambria" w:hAnsi="Cambria" w:eastAsia="Cambria"/>
          <w:sz w:val="20"/>
        </w:rPr>
        <w:t>3. Prioritize high-impact controls: interaction handling, knowledge, workforce, QA, complaints, data/privacy, technology and supplier interfaces.</w:t>
      </w:r>
    </w:p>
    <w:p>
      <w:pPr>
        <w:pStyle w:val="ListBullet"/>
        <w:spacing w:before="0" w:after="50" w:line="252" w:lineRule="auto"/>
      </w:pPr>
      <w:r>
        <w:rPr>
          <w:rFonts w:ascii="Cambria" w:hAnsi="Cambria" w:eastAsia="Cambria"/>
          <w:sz w:val="20"/>
        </w:rPr>
        <w:t>4. Establish controlled procedures, records, KPI definitions and competence requirements.</w:t>
      </w:r>
    </w:p>
    <w:p>
      <w:pPr>
        <w:pStyle w:val="ListBullet"/>
        <w:spacing w:before="0" w:after="50" w:line="252" w:lineRule="auto"/>
      </w:pPr>
      <w:r>
        <w:rPr>
          <w:rFonts w:ascii="Cambria" w:hAnsi="Cambria" w:eastAsia="Cambria"/>
          <w:sz w:val="20"/>
        </w:rPr>
        <w:t>5. Operate the controls long enough to gather reliable evidence and trends.</w:t>
      </w:r>
    </w:p>
    <w:p>
      <w:pPr>
        <w:pStyle w:val="ListBullet"/>
        <w:spacing w:before="0" w:after="50" w:line="252" w:lineRule="auto"/>
      </w:pPr>
      <w:r>
        <w:rPr>
          <w:rFonts w:ascii="Cambria" w:hAnsi="Cambria" w:eastAsia="Cambria"/>
          <w:sz w:val="20"/>
        </w:rPr>
        <w:t>6. Conduct internal audit and management review, then close material actions before claiming readiness.</w:t>
      </w:r>
    </w:p>
    <w:p>
      <w:pPr>
        <w:pStyle w:val="Heading1"/>
        <w:keepNext/>
        <w:spacing w:before="120" w:after="60" w:line="252" w:lineRule="auto"/>
      </w:pPr>
      <w:r>
        <w:rPr>
          <w:rFonts w:ascii="Cambria" w:hAnsi="Cambria" w:eastAsia="Cambria"/>
          <w:b/>
          <w:color w:val="1F4E79"/>
          <w:sz w:val="24"/>
        </w:rPr>
        <w:t>12. Readiness and Handover Checkpoints</w:t>
      </w:r>
    </w:p>
    <w:tbl>
      <w:tblPr>
        <w:tblW w:type="auto" w:w="0"/>
        <w:jc w:val="center"/>
        <w:tblLayout w:type="fixed"/>
        <w:tblLook w:val="04A0"/>
      </w:tblPr>
      <w:tblGrid>
        <w:gridCol w:w="4677"/>
        <w:gridCol w:w="4677"/>
      </w:tblGrid>
      <w:tr>
        <w:trPr>
          <w:tblHeader w:val="true"/>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Checkpoint</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Evidence of Readiness</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Scope and governance</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Approved service scope, accountable owners and escalation routes are current.</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Operational controls</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Interaction, workforce, knowledge, quality, complaint and technology controls are in use.</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Evidence base</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Representative service, QA, training, complaint, KPI and supplier evidence is available.</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Assurance</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Internal audit and management review have addressed material weaknesses and decisions.</w:t>
            </w:r>
          </w:p>
        </w:tc>
      </w:tr>
      <w:tr>
        <w:trPr>
          <w:cantSplit/>
        </w:trPr>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Controlled handover</w:t>
            </w:r>
          </w:p>
        </w:tc>
        <w:tc>
          <w:tcPr>
            <w:tcW w:type="dxa" w:w="6633"/>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Document owners, repositories, review dates and open-action responsibilities are confirmed.</w:t>
            </w:r>
          </w:p>
        </w:tc>
      </w:tr>
    </w:tbl>
    <w:p>
      <w:pPr>
        <w:pStyle w:val="Heading1"/>
        <w:keepNext/>
        <w:spacing w:before="120" w:after="60" w:line="252" w:lineRule="auto"/>
      </w:pPr>
      <w:r>
        <w:rPr>
          <w:rFonts w:ascii="Cambria" w:hAnsi="Cambria" w:eastAsia="Cambria"/>
          <w:b/>
          <w:color w:val="1F4E79"/>
          <w:sz w:val="24"/>
        </w:rPr>
        <w:t>References and Related Sources</w:t>
      </w:r>
    </w:p>
    <w:tbl>
      <w:tblPr>
        <w:tblW w:type="auto" w:w="0"/>
        <w:jc w:val="center"/>
        <w:tblLayout w:type="fixed"/>
        <w:tblLook w:val="04A0"/>
      </w:tblPr>
      <w:tblGrid>
        <w:gridCol w:w="3118"/>
        <w:gridCol w:w="3118"/>
        <w:gridCol w:w="3118"/>
      </w:tblGrid>
      <w:tr>
        <w:trPr>
          <w:tblHeader w:val="true"/>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Reference</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Use in this document</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Source / Location</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ISO 18295-1:2017</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Requirements for customer contact centres; applicable to in-house and outsourced contact centres across interaction channels.</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https://www.iso.org/standard/64739.html</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ISO 18295-2:2017</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Requirements for organizations using customer contact centre services; relevant to client/service-provider arrangements.</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https://www.iso.org/standard/64740.html</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ISO/AWI 18295-1</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Revision project for Part 1; monitor for future replacement of the 2017 edition.</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https://www.iso.org/standard/94393.html</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ISO/AWI 18295-2</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Revision project for Part 2; monitor for future replacement of the 2017 edition.</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https://www.iso.org/standard/94394.html</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Organization service documentation</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Approved service scope, client requirements, scripts/knowledge, QA records, workforce records, complaints, KPI and review records.</w:t>
            </w:r>
          </w:p>
        </w:tc>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[INTERNAL SOURCE / REPOSITORY]</w:t>
            </w:r>
          </w:p>
        </w:tc>
      </w:tr>
    </w:tbl>
    <w:p>
      <w:pPr>
        <w:pStyle w:val="Heading1"/>
        <w:keepNext/>
        <w:spacing w:before="120" w:after="60" w:line="252" w:lineRule="auto"/>
      </w:pPr>
      <w:r>
        <w:rPr>
          <w:rFonts w:ascii="Cambria" w:hAnsi="Cambria" w:eastAsia="Cambria"/>
          <w:b/>
          <w:color w:val="1F4E79"/>
          <w:sz w:val="24"/>
        </w:rPr>
        <w:t>Revision and Approval</w:t>
      </w:r>
    </w:p>
    <w:tbl>
      <w:tblPr>
        <w:tblW w:type="auto" w:w="0"/>
        <w:jc w:val="center"/>
        <w:tblLayout w:type="fixed"/>
        <w:tblLook w:val="04A0"/>
      </w:tblPr>
      <w:tblGrid>
        <w:gridCol w:w="1871"/>
        <w:gridCol w:w="1871"/>
        <w:gridCol w:w="1871"/>
        <w:gridCol w:w="1871"/>
        <w:gridCol w:w="1871"/>
      </w:tblGrid>
      <w:tr>
        <w:trPr>
          <w:tblHeader w:val="true"/>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Version</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Date</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Change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Document Owner</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Approver</w:t>
            </w:r>
          </w:p>
        </w:tc>
      </w:tr>
      <w:tr>
        <w:trPr>
          <w:cantSplit/>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1.0</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2026-09-18</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Initial issue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Service Management Lead</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Senior Management</w:t>
            </w:r>
          </w:p>
        </w:tc>
      </w:tr>
    </w:tbl>
    <w:sectPr w:rsidR="00FC693F" w:rsidRPr="0006063C" w:rsidSect="00034616">
      <w:headerReference w:type="default" r:id="rId9"/>
      <w:footerReference w:type="default" r:id="rId10"/>
      <w:pgSz w:w="11906" w:h="16838"/>
      <w:pgMar w:top="1134" w:right="1134" w:bottom="1134" w:left="1417" w:header="39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Footer"/>
      <w:spacing w:after="20"/>
      <w:jc w:val="center"/>
    </w:pPr>
    <w:r/>
    <w:r>
      <w:rPr>
        <w:rFonts w:ascii="Cambria" w:hAnsi="Cambria" w:eastAsia="Cambria"/>
        <w:color w:val="666666"/>
        <w:sz w:val="16"/>
      </w:rPr>
      <w:t>Copyright © ISO Toolkits | www.iso-toolkits.org | info@iso-toolkits.org</w:t>
    </w:r>
  </w:p>
  <w:p>
    <w:pPr>
      <w:spacing w:after="0"/>
      <w:jc w:val="center"/>
    </w:pPr>
    <w:r>
      <w:rPr>
        <w:rFonts w:ascii="Cambria" w:hAnsi="Cambria" w:eastAsia="Cambria"/>
        <w:color w:val="666666"/>
        <w:sz w:val="16"/>
      </w:rPr>
      <w:t xml:space="preserve">CONTROLLED DOCUMENT | INTERNAL | Page </w:t>
    </w:r>
    <w:r>
      <w:rPr>
        <w:rFonts w:ascii="Cambria" w:hAnsi="Cambria" w:eastAsia="Cambria"/>
        <w:color w:val="666666"/>
        <w:sz w:val="16"/>
      </w:rPr>
      <w:fldChar w:fldCharType="begin"/>
      <w:instrText xml:space="preserve"> PAGE </w:instrText>
      <w:fldChar w:fldCharType="end"/>
    </w:r>
    <w:r>
      <w:rPr>
        <w:rFonts w:ascii="Cambria" w:hAnsi="Cambria" w:eastAsia="Cambria"/>
        <w:color w:val="666666"/>
        <w:sz w:val="16"/>
      </w:rPr>
      <w:t xml:space="preserve"> of </w:t>
    </w:r>
    <w:r>
      <w:rPr>
        <w:rFonts w:ascii="Cambria" w:hAnsi="Cambria" w:eastAsia="Cambria"/>
        <w:color w:val="666666"/>
        <w:sz w:val="16"/>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Header"/>
      <w:spacing w:after="0"/>
    </w:pPr>
    <w:r/>
  </w:p>
  <w:tbl>
    <w:tblPr>
      <w:tblW w:type="auto" w:w="0"/>
      <w:jc w:val="center"/>
      <w:tblLayout w:type="fixed"/>
      <w:tblLook w:val="04A0"/>
    </w:tblPr>
    <w:tblGrid>
      <w:gridCol w:w="3118"/>
      <w:gridCol w:w="3118"/>
      <w:gridCol w:w="3118"/>
    </w:tblGrid>
    <w:tr>
      <w:tc>
        <w:tcPr>
          <w:tcW w:type="dxa" w:w="1814"/>
          <w:tcMar>
            <w:top w:w="20" w:type="dxa"/>
            <w:left w:w="40" w:type="dxa"/>
            <w:bottom w:w="20" w:type="dxa"/>
            <w:right w:w="40" w:type="dxa"/>
          </w:tcMar>
        </w:tcPr>
        <w:p>
          <w:pPr>
            <w:jc w:val="center"/>
          </w:pPr>
          <w:r>
            <w:rPr>
              <w:rFonts w:ascii="Cambria" w:hAnsi="Cambria" w:eastAsia="Cambria"/>
              <w:color w:val="666666"/>
              <w:sz w:val="16"/>
            </w:rPr>
            <w:t>ORGANIZATION</w:t>
            <w:br/>
            <w:t>LOGO</w:t>
          </w:r>
        </w:p>
      </w:tc>
      <w:tc>
        <w:tcPr>
          <w:tcW w:type="dxa" w:w="5216"/>
          <w:tcMar>
            <w:top w:w="20" w:type="dxa"/>
            <w:left w:w="40" w:type="dxa"/>
            <w:bottom w:w="20" w:type="dxa"/>
            <w:right w:w="40" w:type="dxa"/>
          </w:tcMar>
        </w:tcPr>
        <w:p>
          <w:pPr>
            <w:jc w:val="center"/>
          </w:pPr>
          <w:r>
            <w:rPr>
              <w:rFonts w:ascii="Cambria" w:hAnsi="Cambria" w:eastAsia="Cambria"/>
              <w:color w:val="666666"/>
              <w:sz w:val="16"/>
            </w:rPr>
            <w:t>[ORGANIZATION NAME]</w:t>
            <w:br/>
          </w:r>
          <w:r>
            <w:rPr>
              <w:rFonts w:ascii="Cambria" w:hAnsi="Cambria" w:eastAsia="Cambria"/>
              <w:b/>
              <w:color w:val="1F4E79"/>
              <w:sz w:val="18"/>
            </w:rPr>
            <w:t>Service Management System Guidance</w:t>
          </w:r>
        </w:p>
      </w:tc>
      <w:tc>
        <w:tcPr>
          <w:tcW w:type="dxa" w:w="2324"/>
          <w:tcMar>
            <w:top w:w="20" w:type="dxa"/>
            <w:left w:w="40" w:type="dxa"/>
            <w:bottom w:w="20" w:type="dxa"/>
            <w:right w:w="40" w:type="dxa"/>
          </w:tcMar>
        </w:tcPr>
        <w:p>
          <w:pPr>
            <w:jc w:val="right"/>
          </w:pPr>
          <w:r>
            <w:rPr>
              <w:rFonts w:ascii="Cambria" w:hAnsi="Cambria" w:eastAsia="Cambria"/>
              <w:b/>
              <w:color w:val="666666"/>
              <w:sz w:val="16"/>
            </w:rPr>
            <w:t>CCC-GOV-004</w:t>
            <w:br/>
          </w:r>
          <w:r>
            <w:rPr>
              <w:rFonts w:ascii="Cambria" w:hAnsi="Cambria" w:eastAsia="Cambria"/>
              <w:color w:val="666666"/>
              <w:sz w:val="16"/>
            </w:rPr>
            <w:t>Version 1.0</w:t>
            <w:br/>
          </w:r>
          <w:r>
            <w:rPr>
              <w:rFonts w:ascii="Cambria" w:hAnsi="Cambria" w:eastAsia="Cambria"/>
              <w:color w:val="666666"/>
              <w:sz w:val="16"/>
            </w:rPr>
            <w:t>Effective 2026-09-18</w:t>
          </w:r>
        </w:p>
      </w:tc>
    </w:tr>
  </w:tbl>
  <w:p>
    <w:pPr>
      <w:spacing w:after="0"/>
      <w:pBdr>
        <w:bottom w:val="single" w:sz="8" w:color="1F4E79" w:space="1"/>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mbria" w:hAnsi="Cambria"/>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4E79"/>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mbria" w:hAnsi="Cambria"/>
      <w:sz w:val="20"/>
    </w:rPr>
  </w:style>
  <w:style w:type="paragraph" w:styleId="ListBullet2">
    <w:name w:val="List Bullet 2"/>
    <w:basedOn w:val="Normal"/>
    <w:uiPriority w:val="99"/>
    <w:unhideWhenUsed/>
    <w:rsid w:val="00326F90"/>
    <w:pPr>
      <w:numPr>
        <w:numId w:val="2"/>
      </w:numPr>
      <w:contextualSpacing/>
    </w:pPr>
    <w:rPr>
      <w:rFonts w:ascii="Cambria" w:hAnsi="Cambria"/>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