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SERVICE MANAGEMENT REVIEW PROCEDURE</w:t>
      </w:r>
    </w:p>
    <w:p>
      <w:pPr>
        <w:spacing w:after="120"/>
      </w:pPr>
      <w:r>
        <w:rPr>
          <w:rFonts w:ascii="Cambria" w:hAnsi="Cambria" w:eastAsia="Cambria"/>
          <w:b/>
          <w:sz w:val="23"/>
        </w:rPr>
        <w:t>ISO 18295-1:2017 / ISO 18295-2:2017</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Head of Service / Service Management Lead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Senior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a consistent process for senior management to review customer contact centre service performance at planned intervals, make decisions on service effectiveness and ensure customer, client, workforce, technology and improvement issues receive appropriate attention.</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organization-level or service-level reviews of in-house, outsourced or hybrid customer contact centre services, including voice and non-voice channels. It may be adapted for client/service-provider governance arrangements.</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Management review should use aggregated or appropriately restricted customer and employee information. Do not include unnecessary personal details, recordings or complaint case content in the general review pack.</w:t>
            </w:r>
          </w:p>
        </w:tc>
      </w:tr>
    </w:tbl>
    <w:p>
      <w:pPr>
        <w:spacing w:after="20"/>
      </w:pP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Senior Management / Review Chair</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Challenge service outcomes, approve priorities and resources, and make decisions on material service risks.</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Management Lead</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Coordinate the review, present balanced performance evidence and highlight material changes or systemic issues.</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Operations / Workforce / Quality / Training</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reliable service, capacity, quality and competence inputs and own assigned actions.</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Technology / Support Functions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availability, outage, data, security, supplier or other relevant dependency inputs.</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Client / Business Owner, where applicable</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service commitments, customer outcomes and unresolved client-provider issues.</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Secretary / Coordinator</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Issue agenda, consolidate pack, record decisions/actions and track follow-up.</w:t>
            </w:r>
          </w:p>
        </w:tc>
      </w:tr>
    </w:tbl>
    <w:p>
      <w:pPr>
        <w:pStyle w:val="Heading1"/>
        <w:keepNext/>
        <w:spacing w:before="120" w:after="60" w:line="252" w:lineRule="auto"/>
      </w:pPr>
      <w:r>
        <w:rPr>
          <w:rFonts w:ascii="Cambria" w:hAnsi="Cambria" w:eastAsia="Cambria"/>
          <w:b/>
          <w:color w:val="1F4E79"/>
          <w:sz w:val="24"/>
        </w:rPr>
        <w:t>4. Frequency and Triggers</w:t>
      </w:r>
    </w:p>
    <w:p>
      <w:pPr>
        <w:spacing w:before="0" w:after="80" w:line="252" w:lineRule="auto"/>
      </w:pPr>
      <w:r>
        <w:rPr>
          <w:rFonts w:ascii="Cambria" w:hAnsi="Cambria" w:eastAsia="Cambria"/>
          <w:i w:val="0"/>
          <w:sz w:val="20"/>
        </w:rPr>
        <w:t>Conduct review at planned intervals suitable for service risk and performance. Additional review may be triggered by material service deterioration, major customer impact, significant complaint trend, technology outage, major client requirement change, launch of a new channel or service, audit finding, supplier failure or serious capacity/competence issue.</w:t>
      </w:r>
    </w:p>
    <w:p>
      <w:pPr>
        <w:pStyle w:val="Heading1"/>
        <w:keepNext/>
        <w:spacing w:before="120" w:after="60" w:line="252" w:lineRule="auto"/>
      </w:pPr>
      <w:r>
        <w:rPr>
          <w:rFonts w:ascii="Cambria" w:hAnsi="Cambria" w:eastAsia="Cambria"/>
          <w:b/>
          <w:color w:val="1F4E79"/>
          <w:sz w:val="24"/>
        </w:rPr>
        <w:t>5. Required Review Inputs</w:t>
      </w:r>
    </w:p>
    <w:tbl>
      <w:tblPr>
        <w:tblW w:type="auto" w:w="0"/>
        <w:jc w:val="center"/>
        <w:tblLayout w:type="fixed"/>
        <w:tblLook w:val="04A0"/>
      </w:tblPr>
      <w:tblGrid>
        <w:gridCol w:w="4677"/>
        <w:gridCol w:w="4677"/>
      </w:tblGrid>
      <w:tr>
        <w:trPr>
          <w:tblHeader w:val="true"/>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Input Area</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Minimum Management Information</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Service scope / change</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New services/channels, operating hours, customer populations, client requirements and major process or technology changes.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Customer outcomes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Customer feedback, satisfaction or experience measures, repeat-contact themes, accessibility/vulnerability issues where relevant.</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Service performance</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Volume, answer/response performance, abandonment, backlog, handling time or other approved service KPIs with definitions and trends.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Quality / accuracy</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QA results, calibration variance, critical errors, knowledge gaps, coaching and recurring interaction themes.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Complaints / escalations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Complaint volumes, severity, response/closure performance, root causes and recurring themes.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Workforce / competence</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Forecast accuracy, staffing, schedule adherence, turnover/absence, training and competence risks.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Technology / continuity</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Availability, outages, routing issues, recovery/continuity events and unresolved technical risks.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confidentiality / security</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Material control issues, access or recording concerns, without unnecessary personal case detail.</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Client / supplier performance</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SLA performance, outsourced provider issues, critical supplier dependencies and actions.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 improvement</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findings, overdue actions, corrective-action effectiveness and improvement opportunities.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Previous actions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Status and effectiveness of prior management-review decisions.</w:t>
            </w:r>
          </w:p>
        </w:tc>
      </w:tr>
    </w:tbl>
    <w:p>
      <w:pPr>
        <w:pStyle w:val="Heading1"/>
        <w:keepNext/>
        <w:spacing w:before="120" w:after="60" w:line="252" w:lineRule="auto"/>
      </w:pPr>
      <w:r>
        <w:rPr>
          <w:rFonts w:ascii="Cambria" w:hAnsi="Cambria" w:eastAsia="Cambria"/>
          <w:b/>
          <w:color w:val="1F4E79"/>
          <w:sz w:val="24"/>
        </w:rPr>
        <w:t>6. Procedure</w:t>
      </w:r>
    </w:p>
    <w:tbl>
      <w:tblPr>
        <w:tblW w:type="auto" w:w="0"/>
        <w:jc w:val="center"/>
        <w:tblLayout w:type="fixed"/>
        <w:tblLook w:val="04A0"/>
      </w:tblPr>
      <w:tblGrid>
        <w:gridCol w:w="1871"/>
        <w:gridCol w:w="1871"/>
        <w:gridCol w:w="1871"/>
        <w:gridCol w:w="1871"/>
        <w:gridCol w:w="1871"/>
      </w:tblGrid>
      <w:tr>
        <w:trPr>
          <w:tblHeader w:val="true"/>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Step</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Activity</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Responsible</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Control Requirement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Output</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1</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Schedule and scope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Service Coordinator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Confirm date, participants, service scope, period and confidentiality needs.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 calendar</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Collect inputs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Functional Owners</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Provide current data with metric definitions, trend context and known limitations.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pack</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3</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Quality check</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Service Management Lead</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Check completeness, materiality, data consistency and priority escalation items.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Reviewed pack</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4</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Conduct review</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Chair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Evaluate customer outcomes, performance, quality, workforce, technology, complaints, suppliers and improvement needs.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Decisions / directions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5</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Record outputs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Secretary</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Capture decisions, actions, owners, due dates and required verification evidence.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Minutes / action log</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6</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Communicate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Service Management Lead</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Distribute outputs at the appropriate access level.</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Communication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7</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Follow up</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Action Owners</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Implement actions and provide evidence; escalate barriers or delays.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Action evidence</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8</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Verify closure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Service Management / Reviewer</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Verify completion/effectiveness where required and carry unresolved matters forward.</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Closure evidence</w:t>
            </w:r>
          </w:p>
        </w:tc>
      </w:tr>
    </w:tbl>
    <w:p>
      <w:pPr>
        <w:pStyle w:val="Heading1"/>
        <w:keepNext/>
        <w:spacing w:before="120" w:after="60" w:line="252" w:lineRule="auto"/>
      </w:pPr>
      <w:r>
        <w:rPr>
          <w:rFonts w:ascii="Cambria" w:hAnsi="Cambria" w:eastAsia="Cambria"/>
          <w:b/>
          <w:color w:val="1F4E79"/>
          <w:sz w:val="24"/>
        </w:rPr>
        <w:t>7. Required Outputs</w:t>
      </w:r>
    </w:p>
    <w:p>
      <w:pPr>
        <w:pStyle w:val="ListBullet"/>
        <w:spacing w:before="0" w:after="50" w:line="252" w:lineRule="auto"/>
      </w:pPr>
      <w:r>
        <w:rPr>
          <w:rFonts w:ascii="Cambria" w:hAnsi="Cambria" w:eastAsia="Cambria"/>
          <w:sz w:val="20"/>
        </w:rPr>
        <w:t>Decisions on service effectiveness and customer outcome priorities</w:t>
      </w:r>
    </w:p>
    <w:p>
      <w:pPr>
        <w:pStyle w:val="ListBullet"/>
        <w:spacing w:before="0" w:after="50" w:line="252" w:lineRule="auto"/>
      </w:pPr>
      <w:r>
        <w:rPr>
          <w:rFonts w:ascii="Cambria" w:hAnsi="Cambria" w:eastAsia="Cambria"/>
          <w:sz w:val="20"/>
        </w:rPr>
        <w:t>Changes to service standards, KPI targets or measurement methods</w:t>
      </w:r>
    </w:p>
    <w:p>
      <w:pPr>
        <w:pStyle w:val="ListBullet"/>
        <w:spacing w:before="0" w:after="50" w:line="252" w:lineRule="auto"/>
      </w:pPr>
      <w:r>
        <w:rPr>
          <w:rFonts w:ascii="Cambria" w:hAnsi="Cambria" w:eastAsia="Cambria"/>
          <w:sz w:val="20"/>
        </w:rPr>
        <w:t>Resource, staffing, competence or technology decisions</w:t>
      </w:r>
    </w:p>
    <w:p>
      <w:pPr>
        <w:pStyle w:val="ListBullet"/>
        <w:spacing w:before="0" w:after="50" w:line="252" w:lineRule="auto"/>
      </w:pPr>
      <w:r>
        <w:rPr>
          <w:rFonts w:ascii="Cambria" w:hAnsi="Cambria" w:eastAsia="Cambria"/>
          <w:sz w:val="20"/>
        </w:rPr>
        <w:t>Actions on complaint, quality, accessibility or knowledge themes</w:t>
      </w:r>
    </w:p>
    <w:p>
      <w:pPr>
        <w:pStyle w:val="ListBullet"/>
        <w:spacing w:before="0" w:after="50" w:line="252" w:lineRule="auto"/>
      </w:pPr>
      <w:r>
        <w:rPr>
          <w:rFonts w:ascii="Cambria" w:hAnsi="Cambria" w:eastAsia="Cambria"/>
          <w:sz w:val="20"/>
        </w:rPr>
        <w:t>Supplier/client governance actions where applicable</w:t>
      </w:r>
    </w:p>
    <w:p>
      <w:pPr>
        <w:pStyle w:val="ListBullet"/>
        <w:spacing w:before="0" w:after="50" w:line="252" w:lineRule="auto"/>
      </w:pPr>
      <w:r>
        <w:rPr>
          <w:rFonts w:ascii="Cambria" w:hAnsi="Cambria" w:eastAsia="Cambria"/>
          <w:sz w:val="20"/>
        </w:rPr>
        <w:t>Corrective actions and improvement priorities</w:t>
      </w:r>
    </w:p>
    <w:p>
      <w:pPr>
        <w:pStyle w:val="ListBullet"/>
        <w:spacing w:before="0" w:after="50" w:line="252" w:lineRule="auto"/>
      </w:pPr>
      <w:r>
        <w:rPr>
          <w:rFonts w:ascii="Cambria" w:hAnsi="Cambria" w:eastAsia="Cambria"/>
          <w:sz w:val="20"/>
        </w:rPr>
        <w:t>Matters requiring escalation to senior governance or specialist review</w:t>
      </w:r>
    </w:p>
    <w:p>
      <w:pPr>
        <w:pStyle w:val="Heading1"/>
        <w:keepNext/>
        <w:spacing w:before="120" w:after="60" w:line="252" w:lineRule="auto"/>
      </w:pPr>
      <w:r>
        <w:rPr>
          <w:rFonts w:ascii="Cambria" w:hAnsi="Cambria" w:eastAsia="Cambria"/>
          <w:b/>
          <w:color w:val="1F4E79"/>
          <w:sz w:val="24"/>
        </w:rPr>
        <w:t>8. Records</w:t>
      </w:r>
    </w:p>
    <w:tbl>
      <w:tblPr>
        <w:tblW w:type="auto" w:w="0"/>
        <w:jc w:val="center"/>
        <w:tblLayout w:type="fixed"/>
        <w:tblLook w:val="04A0"/>
      </w:tblPr>
      <w:tblGrid>
        <w:gridCol w:w="3118"/>
        <w:gridCol w:w="3118"/>
        <w:gridCol w:w="3118"/>
      </w:tblGrid>
      <w:tr>
        <w:trPr>
          <w:tblHeader w:val="true"/>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Owner</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Agenda and review pack</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Coordinator</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Version-controlled; current metric definitions and period stated.</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Attendance / declarations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Secretary</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Retain with minutes where needed.</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Minutes and decisions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Chair / Secretary</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Confirmed; decisions and action ownership clear.</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Action tracker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Coordinator</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Track status, evidence, escalation and closure.</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Restricted annexes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Authorized Owner</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Protect customer, employee, privacy/security or client-sensitive information.</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Head of Service / Service Management Lead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Senior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Service Management Review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CCC-PRO-002</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