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body>
    <w:p>
      <w:pPr>
        <w:spacing w:before="60" w:after="80"/>
        <w:pBdr>
          <w:bottom w:val="single" w:sz="8" w:color="1F4E79" w:space="4"/>
        </w:pBdr>
      </w:pPr>
      <w:r>
        <w:rPr>
          <w:rFonts w:ascii="Cambria" w:hAnsi="Cambria" w:eastAsia="Cambria"/>
          <w:b/>
          <w:color w:val="1F4E79"/>
          <w:sz w:val="40"/>
        </w:rPr>
        <w:t>SERVICE MANAGEMENT REVIEW GUIDANCE</w:t>
      </w:r>
    </w:p>
    <w:p>
      <w:pPr>
        <w:spacing w:after="120"/>
      </w:pPr>
      <w:r>
        <w:rPr>
          <w:rFonts w:ascii="Cambria" w:hAnsi="Cambria" w:eastAsia="Cambria"/>
          <w:b/>
          <w:sz w:val="23"/>
        </w:rPr>
        <w:t>ISO 18295-1:2017 / ISO 18295-2:2017</w:t>
      </w:r>
    </w:p>
    <w:tbl>
      <w:tblPr>
        <w:tblW w:type="auto" w:w="0"/>
        <w:jc w:val="center"/>
        <w:tblLayout w:type="fixed"/>
        <w:tblLook w:val="04A0"/>
      </w:tblPr>
      <w:tblGrid>
        <w:gridCol w:w="4677"/>
        <w:gridCol w:w="4677"/>
      </w:tblGrid>
      <w:tr>
        <w:trPr>
          <w:tblHeader w:val="true"/>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8"/>
              </w:rPr>
              <w:t>Document Owner</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8"/>
              </w:rPr>
              <w:t>Approver</w:t>
            </w:r>
          </w:p>
        </w:tc>
      </w:tr>
      <w:tr>
        <w:trPr>
          <w:cantSplit/>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Service Management Lead</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Senior Management</w:t>
            </w:r>
          </w:p>
        </w:tc>
      </w:tr>
      <w:tr>
        <w:trPr>
          <w:cantSplit/>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Classification: INTERNAL</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Next Review: 2027-09-18</w:t>
            </w:r>
          </w:p>
        </w:tc>
      </w:tr>
    </w:tbl>
    <w:p>
      <w:pPr>
        <w:spacing w:after="40"/>
      </w:pPr>
    </w:p>
    <w:p>
      <w:pPr>
        <w:pStyle w:val="Heading1"/>
        <w:keepNext/>
        <w:spacing w:before="120" w:after="60" w:line="252" w:lineRule="auto"/>
      </w:pPr>
      <w:r>
        <w:rPr>
          <w:rFonts w:ascii="Cambria" w:hAnsi="Cambria" w:eastAsia="Cambria"/>
          <w:b/>
          <w:color w:val="1F4E79"/>
          <w:sz w:val="24"/>
        </w:rPr>
        <w:t>1. Purpose</w:t>
      </w:r>
    </w:p>
    <w:p>
      <w:pPr>
        <w:spacing w:before="0" w:after="80" w:line="252" w:lineRule="auto"/>
      </w:pPr>
      <w:r>
        <w:rPr>
          <w:rFonts w:ascii="Cambria" w:hAnsi="Cambria" w:eastAsia="Cambria"/>
          <w:i w:val="0"/>
          <w:sz w:val="20"/>
        </w:rPr>
        <w:t>Provide practical guidance for preparing, facilitating and following up management reviews of customer contact centre services so senior management receives balanced evidence, makes clear decisions and drives measurable improvement.</w:t>
      </w:r>
    </w:p>
    <w:tbl>
      <w:tblPr>
        <w:tblW w:type="auto" w:w="0"/>
        <w:jc w:val="center"/>
        <w:tblLayout w:type="autofit"/>
        <w:tblLook w:val="04A0"/>
      </w:tblPr>
      <w:tblGrid>
        <w:gridCol w:w="9355"/>
      </w:tblGrid>
      <w:tr>
        <w:trPr>
          <w:cantSplit/>
        </w:trPr>
        <w:tc>
          <w:tcPr>
            <w:tcW w:type="dxa" w:w="9355"/>
            <w:tcBorders>
              <w:top w:val="single" w:sz="3" w:space="0" w:color="E6D690"/>
              <w:left w:val="single" w:sz="3" w:space="0" w:color="E6D690"/>
              <w:bottom w:val="single" w:sz="3" w:space="0" w:color="E6D690"/>
              <w:right w:val="single" w:sz="3" w:space="0" w:color="E6D690"/>
              <w:insideH w:val="single" w:sz="3" w:space="0" w:color="E6D690"/>
              <w:insideV w:val="single" w:sz="3" w:space="0" w:color="E6D690"/>
            </w:tcBorders>
            <w:shd w:fill="FFF2CC" w:val="clear"/>
            <w:tcMar>
              <w:top w:w="70" w:type="dxa"/>
              <w:left w:w="90" w:type="dxa"/>
              <w:bottom w:w="70" w:type="dxa"/>
              <w:right w:w="90" w:type="dxa"/>
            </w:tcMar>
          </w:tcPr>
          <w:p>
            <w:pPr>
              <w:keepLines/>
              <w:spacing w:before="0" w:after="0" w:line="252" w:lineRule="auto"/>
            </w:pPr>
            <w:r>
              <w:rPr>
                <w:rFonts w:ascii="Cambria" w:hAnsi="Cambria" w:eastAsia="Cambria"/>
                <w:b/>
                <w:i/>
                <w:color w:val="C00000"/>
                <w:sz w:val="18"/>
              </w:rPr>
              <w:t xml:space="preserve">[Note] </w:t>
            </w:r>
            <w:r>
              <w:rPr>
                <w:rFonts w:ascii="Cambria" w:hAnsi="Cambria" w:eastAsia="Cambria"/>
                <w:i/>
                <w:color w:val="C00000"/>
                <w:sz w:val="18"/>
              </w:rPr>
              <w:t>Use aggregated or appropriately restricted customer and employee information in the general review pack. Customer identities, recordings, transcripts, complaint case details and employee-sensitive information should be included only when necessary and authorized.</w:t>
            </w:r>
          </w:p>
        </w:tc>
      </w:tr>
    </w:tbl>
    <w:p>
      <w:pPr>
        <w:spacing w:after="20"/>
      </w:pPr>
    </w:p>
    <w:p>
      <w:pPr>
        <w:pStyle w:val="Heading1"/>
        <w:keepNext/>
        <w:spacing w:before="120" w:after="60" w:line="252" w:lineRule="auto"/>
      </w:pPr>
      <w:r>
        <w:rPr>
          <w:rFonts w:ascii="Cambria" w:hAnsi="Cambria" w:eastAsia="Cambria"/>
          <w:b/>
          <w:color w:val="1F4E79"/>
          <w:sz w:val="24"/>
        </w:rPr>
        <w:t>2. Review Objectives</w:t>
      </w:r>
    </w:p>
    <w:p>
      <w:pPr>
        <w:pStyle w:val="ListBullet"/>
        <w:spacing w:before="0" w:after="50" w:line="252" w:lineRule="auto"/>
      </w:pPr>
      <w:r>
        <w:rPr>
          <w:rFonts w:ascii="Cambria" w:hAnsi="Cambria" w:eastAsia="Cambria"/>
          <w:sz w:val="20"/>
        </w:rPr>
        <w:t>Confirm whether the service continues to meet defined customer, client/business-owner and organizational requirements.</w:t>
      </w:r>
    </w:p>
    <w:p>
      <w:pPr>
        <w:pStyle w:val="ListBullet"/>
        <w:spacing w:before="0" w:after="50" w:line="252" w:lineRule="auto"/>
      </w:pPr>
      <w:r>
        <w:rPr>
          <w:rFonts w:ascii="Cambria" w:hAnsi="Cambria" w:eastAsia="Cambria"/>
          <w:sz w:val="20"/>
        </w:rPr>
        <w:t>Evaluate service performance, quality, accessibility, capacity, competence, technology and customer outcomes using reliable evidence.</w:t>
      </w:r>
    </w:p>
    <w:p>
      <w:pPr>
        <w:pStyle w:val="ListBullet"/>
        <w:spacing w:before="0" w:after="50" w:line="252" w:lineRule="auto"/>
      </w:pPr>
      <w:r>
        <w:rPr>
          <w:rFonts w:ascii="Cambria" w:hAnsi="Cambria" w:eastAsia="Cambria"/>
          <w:sz w:val="20"/>
        </w:rPr>
        <w:t>Identify systemic risks, recurring failures, resource constraints and material changes that require management decisions.</w:t>
      </w:r>
    </w:p>
    <w:p>
      <w:pPr>
        <w:pStyle w:val="ListBullet"/>
        <w:spacing w:before="0" w:after="50" w:line="252" w:lineRule="auto"/>
      </w:pPr>
      <w:r>
        <w:rPr>
          <w:rFonts w:ascii="Cambria" w:hAnsi="Cambria" w:eastAsia="Cambria"/>
          <w:sz w:val="20"/>
        </w:rPr>
        <w:t>Confirm progress and effectiveness of actions arising from prior reviews, audits, complaints, incidents or improvement programmes.</w:t>
      </w:r>
    </w:p>
    <w:p>
      <w:pPr>
        <w:pStyle w:val="ListBullet"/>
        <w:spacing w:before="0" w:after="50" w:line="252" w:lineRule="auto"/>
      </w:pPr>
      <w:r>
        <w:rPr>
          <w:rFonts w:ascii="Cambria" w:hAnsi="Cambria" w:eastAsia="Cambria"/>
          <w:sz w:val="20"/>
        </w:rPr>
        <w:t>Set priorities, resources and accountable actions for the next review period.</w:t>
      </w:r>
    </w:p>
    <w:p>
      <w:pPr>
        <w:pStyle w:val="Heading1"/>
        <w:keepNext/>
        <w:spacing w:before="120" w:after="60" w:line="252" w:lineRule="auto"/>
      </w:pPr>
      <w:r>
        <w:rPr>
          <w:rFonts w:ascii="Cambria" w:hAnsi="Cambria" w:eastAsia="Cambria"/>
          <w:b/>
          <w:color w:val="1F4E79"/>
          <w:sz w:val="24"/>
        </w:rPr>
        <w:t>3. Roles in an Effective Review</w:t>
      </w:r>
    </w:p>
    <w:tbl>
      <w:tblPr>
        <w:tblW w:type="auto" w:w="0"/>
        <w:jc w:val="center"/>
        <w:tblLayout w:type="fixed"/>
        <w:tblLook w:val="04A0"/>
      </w:tblPr>
      <w:tblGrid>
        <w:gridCol w:w="4677"/>
        <w:gridCol w:w="4677"/>
      </w:tblGrid>
      <w:tr>
        <w:trPr>
          <w:tblHeader w:val="true"/>
        </w:trPr>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Role</w:t>
            </w:r>
          </w:p>
        </w:tc>
        <w:tc>
          <w:tcPr>
            <w:tcW w:type="dxa" w:w="64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Practical Contribution</w:t>
            </w:r>
          </w:p>
        </w:tc>
      </w:tr>
      <w:tr>
        <w:trPr>
          <w:cantSplit/>
        </w:trPr>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Review Chair / Senior Management</w:t>
            </w:r>
          </w:p>
        </w:tc>
        <w:tc>
          <w:tcPr>
            <w:tcW w:type="dxa" w:w="64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Challenge trends, approve priorities and resources, make decisions on material service risks and unresolved issues.</w:t>
            </w:r>
          </w:p>
        </w:tc>
      </w:tr>
      <w:tr>
        <w:trPr>
          <w:cantSplit/>
        </w:trPr>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Service Management Lead</w:t>
            </w:r>
          </w:p>
        </w:tc>
        <w:tc>
          <w:tcPr>
            <w:tcW w:type="dxa" w:w="64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Coordinate the agenda, consolidate evidence, explain performance context and track review actions.</w:t>
            </w:r>
          </w:p>
        </w:tc>
      </w:tr>
      <w:tr>
        <w:trPr>
          <w:cantSplit/>
        </w:trPr>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Operations / Workforce Management</w:t>
            </w:r>
          </w:p>
        </w:tc>
        <w:tc>
          <w:tcPr>
            <w:tcW w:type="dxa" w:w="64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Explain demand, staffing, adherence, queue/service performance, operational changes and constraints.</w:t>
            </w:r>
          </w:p>
        </w:tc>
      </w:tr>
      <w:tr>
        <w:trPr>
          <w:cantSplit/>
        </w:trPr>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Quality / Training / Knowledge</w:t>
            </w:r>
          </w:p>
        </w:tc>
        <w:tc>
          <w:tcPr>
            <w:tcW w:type="dxa" w:w="64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Present QA results, calibration, competence, coaching, knowledge accuracy and recurring interaction themes.</w:t>
            </w:r>
          </w:p>
        </w:tc>
      </w:tr>
      <w:tr>
        <w:trPr>
          <w:cantSplit/>
        </w:trPr>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Technology / Support Functions</w:t>
            </w:r>
          </w:p>
        </w:tc>
        <w:tc>
          <w:tcPr>
            <w:tcW w:type="dxa" w:w="64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Present availability, outage, platform, security, privacy, supplier and continuity issues where relevant.</w:t>
            </w:r>
          </w:p>
        </w:tc>
      </w:tr>
      <w:tr>
        <w:trPr>
          <w:cantSplit/>
        </w:trPr>
        <w:tc>
          <w:tcPr>
            <w:tcW w:type="dxa" w:w="294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Client / Business Owner or Contract Owner</w:t>
            </w:r>
          </w:p>
        </w:tc>
        <w:tc>
          <w:tcPr>
            <w:tcW w:type="dxa" w:w="640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Confirm service requirements, SLA expectations, material changes and relationship issues where applicable.</w:t>
            </w:r>
          </w:p>
        </w:tc>
      </w:tr>
    </w:tbl>
    <w:p>
      <w:pPr>
        <w:pStyle w:val="Heading1"/>
        <w:keepNext/>
        <w:spacing w:before="120" w:after="60" w:line="252" w:lineRule="auto"/>
      </w:pPr>
      <w:r>
        <w:rPr>
          <w:rFonts w:ascii="Cambria" w:hAnsi="Cambria" w:eastAsia="Cambria"/>
          <w:b/>
          <w:color w:val="1F4E79"/>
          <w:sz w:val="24"/>
        </w:rPr>
        <w:t>4. Recommended Review Inputs</w:t>
      </w:r>
    </w:p>
    <w:tbl>
      <w:tblPr>
        <w:tblW w:type="auto" w:w="0"/>
        <w:jc w:val="center"/>
        <w:tblLayout w:type="fixed"/>
        <w:tblLook w:val="04A0"/>
      </w:tblPr>
      <w:tblGrid>
        <w:gridCol w:w="3118"/>
        <w:gridCol w:w="3118"/>
        <w:gridCol w:w="3118"/>
      </w:tblGrid>
      <w:tr>
        <w:trPr>
          <w:tblHeader w:val="true"/>
        </w:trPr>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Review Area</w:t>
            </w:r>
          </w:p>
        </w:tc>
        <w:tc>
          <w:tcPr>
            <w:tcW w:type="dxa" w:w="396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Evidence to Prepare</w:t>
            </w:r>
          </w:p>
        </w:tc>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Management Question</w:t>
            </w:r>
          </w:p>
        </w:tc>
      </w:tr>
      <w:tr>
        <w:trPr>
          <w:cantSplit/>
        </w:trPr>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Customer outcomes</w:t>
            </w:r>
          </w:p>
        </w:tc>
        <w:tc>
          <w:tcPr>
            <w:tcW w:type="dxa" w:w="396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Customer feedback, complaints, escalations, repeat-contact themes, accessibility issues</w:t>
            </w:r>
          </w:p>
        </w:tc>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Are customers receiving consistent, accurate and accessible service?</w:t>
            </w:r>
          </w:p>
        </w:tc>
      </w:tr>
      <w:tr>
        <w:trPr>
          <w:cantSplit/>
        </w:trPr>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Service performance</w:t>
            </w:r>
          </w:p>
        </w:tc>
        <w:tc>
          <w:tcPr>
            <w:tcW w:type="dxa" w:w="396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Volume, response/handling metrics, abandonment, backlog, channel performance, SLA results</w:t>
            </w:r>
          </w:p>
        </w:tc>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Are service commitments achieved without creating hidden quality or customer risks?</w:t>
            </w:r>
          </w:p>
        </w:tc>
      </w:tr>
      <w:tr>
        <w:trPr>
          <w:cantSplit/>
        </w:trPr>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Quality assurance</w:t>
            </w:r>
          </w:p>
        </w:tc>
        <w:tc>
          <w:tcPr>
            <w:tcW w:type="dxa" w:w="396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QA results, calibration, critical-error themes, coaching outcomes</w:t>
            </w:r>
          </w:p>
        </w:tc>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Are interaction-quality controls reliable and improving performance?</w:t>
            </w:r>
          </w:p>
        </w:tc>
      </w:tr>
      <w:tr>
        <w:trPr>
          <w:cantSplit/>
        </w:trPr>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Workforce / competence</w:t>
            </w:r>
          </w:p>
        </w:tc>
        <w:tc>
          <w:tcPr>
            <w:tcW w:type="dxa" w:w="396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Forecast accuracy, staffing, shrinkage, attrition, training, competence and coaching</w:t>
            </w:r>
          </w:p>
        </w:tc>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Is capacity and competence sufficient for expected demand and service complexity?</w:t>
            </w:r>
          </w:p>
        </w:tc>
      </w:tr>
      <w:tr>
        <w:trPr>
          <w:cantSplit/>
        </w:trPr>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Knowledge / process</w:t>
            </w:r>
          </w:p>
        </w:tc>
        <w:tc>
          <w:tcPr>
            <w:tcW w:type="dxa" w:w="396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Knowledge accuracy, changes, obsolete content, transfer/escalation issues</w:t>
            </w:r>
          </w:p>
        </w:tc>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Can personnel reliably access and apply current service information?</w:t>
            </w:r>
          </w:p>
        </w:tc>
      </w:tr>
      <w:tr>
        <w:trPr>
          <w:cantSplit/>
        </w:trPr>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Technology / continuity</w:t>
            </w:r>
          </w:p>
        </w:tc>
        <w:tc>
          <w:tcPr>
            <w:tcW w:type="dxa" w:w="396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Availability, outages, routing issues, platform changes, continuity tests</w:t>
            </w:r>
          </w:p>
        </w:tc>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Are enabling systems and alternate arrangements adequate?</w:t>
            </w:r>
          </w:p>
        </w:tc>
      </w:tr>
      <w:tr>
        <w:trPr>
          <w:cantSplit/>
        </w:trPr>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Suppliers / outsourcing</w:t>
            </w:r>
          </w:p>
        </w:tc>
        <w:tc>
          <w:tcPr>
            <w:tcW w:type="dxa" w:w="396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Supplier SLA, governance, issues, improvement actions</w:t>
            </w:r>
          </w:p>
        </w:tc>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Are outsourced dependencies controlled and aligned to service requirements?</w:t>
            </w:r>
          </w:p>
        </w:tc>
      </w:tr>
      <w:tr>
        <w:trPr>
          <w:cantSplit/>
        </w:trPr>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Assurance / improvement</w:t>
            </w:r>
          </w:p>
        </w:tc>
        <w:tc>
          <w:tcPr>
            <w:tcW w:type="dxa" w:w="396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Audit findings, corrective actions, prior review actions, project changes</w:t>
            </w:r>
          </w:p>
        </w:tc>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Are known weaknesses being resolved and verified?</w:t>
            </w:r>
          </w:p>
        </w:tc>
      </w:tr>
    </w:tbl>
    <w:p>
      <w:pPr>
        <w:pStyle w:val="Heading1"/>
        <w:keepNext/>
        <w:spacing w:before="120" w:after="60" w:line="252" w:lineRule="auto"/>
      </w:pPr>
      <w:r>
        <w:rPr>
          <w:rFonts w:ascii="Cambria" w:hAnsi="Cambria" w:eastAsia="Cambria"/>
          <w:b/>
          <w:color w:val="1F4E79"/>
          <w:sz w:val="24"/>
        </w:rPr>
        <w:t>5. Preparing the Review Pack</w:t>
      </w:r>
    </w:p>
    <w:p>
      <w:pPr>
        <w:pStyle w:val="ListBullet"/>
        <w:spacing w:before="0" w:after="50" w:line="252" w:lineRule="auto"/>
      </w:pPr>
      <w:r>
        <w:rPr>
          <w:rFonts w:ascii="Cambria" w:hAnsi="Cambria" w:eastAsia="Cambria"/>
          <w:sz w:val="20"/>
        </w:rPr>
        <w:t>Use the approved KPI catalogue and metric definitions; do not change exclusions or calculation logic solely to improve reported performance.</w:t>
      </w:r>
    </w:p>
    <w:p>
      <w:pPr>
        <w:pStyle w:val="ListBullet"/>
        <w:spacing w:before="0" w:after="50" w:line="252" w:lineRule="auto"/>
      </w:pPr>
      <w:r>
        <w:rPr>
          <w:rFonts w:ascii="Cambria" w:hAnsi="Cambria" w:eastAsia="Cambria"/>
          <w:sz w:val="20"/>
        </w:rPr>
        <w:t>Show trends and exceptions, not only a single-period result. Explain material data limitations or reporting changes.</w:t>
      </w:r>
    </w:p>
    <w:p>
      <w:pPr>
        <w:pStyle w:val="ListBullet"/>
        <w:spacing w:before="0" w:after="50" w:line="252" w:lineRule="auto"/>
      </w:pPr>
      <w:r>
        <w:rPr>
          <w:rFonts w:ascii="Cambria" w:hAnsi="Cambria" w:eastAsia="Cambria"/>
          <w:sz w:val="20"/>
        </w:rPr>
        <w:t>Separate customer/service outcomes from internal activity measures so management can see whether operational effort translates into customer value.</w:t>
      </w:r>
    </w:p>
    <w:p>
      <w:pPr>
        <w:pStyle w:val="ListBullet"/>
        <w:spacing w:before="0" w:after="50" w:line="252" w:lineRule="auto"/>
      </w:pPr>
      <w:r>
        <w:rPr>
          <w:rFonts w:ascii="Cambria" w:hAnsi="Cambria" w:eastAsia="Cambria"/>
          <w:sz w:val="20"/>
        </w:rPr>
        <w:t>Highlight items requiring a decision, resource commitment, risk acceptance, escalation or cross-functional support.</w:t>
      </w:r>
    </w:p>
    <w:p>
      <w:pPr>
        <w:pStyle w:val="ListBullet"/>
        <w:spacing w:before="0" w:after="50" w:line="252" w:lineRule="auto"/>
      </w:pPr>
      <w:r>
        <w:rPr>
          <w:rFonts w:ascii="Cambria" w:hAnsi="Cambria" w:eastAsia="Cambria"/>
          <w:sz w:val="20"/>
        </w:rPr>
        <w:t>Carry forward open actions from the previous review with current status and evidence.</w:t>
      </w:r>
    </w:p>
    <w:p>
      <w:pPr>
        <w:pStyle w:val="Heading1"/>
        <w:keepNext/>
        <w:spacing w:before="120" w:after="60" w:line="252" w:lineRule="auto"/>
      </w:pPr>
      <w:r>
        <w:rPr>
          <w:rFonts w:ascii="Cambria" w:hAnsi="Cambria" w:eastAsia="Cambria"/>
          <w:b/>
          <w:color w:val="1F4E79"/>
          <w:sz w:val="24"/>
        </w:rPr>
        <w:t>6. Facilitating the Meeting</w:t>
      </w:r>
    </w:p>
    <w:tbl>
      <w:tblPr>
        <w:tblW w:type="auto" w:w="0"/>
        <w:jc w:val="center"/>
        <w:tblLayout w:type="fixed"/>
        <w:tblLook w:val="04A0"/>
      </w:tblPr>
      <w:tblGrid>
        <w:gridCol w:w="3118"/>
        <w:gridCol w:w="3118"/>
        <w:gridCol w:w="3118"/>
      </w:tblGrid>
      <w:tr>
        <w:trPr>
          <w:tblHeader w:val="true"/>
        </w:trPr>
        <w:tc>
          <w:tcPr>
            <w:tcW w:type="dxa" w:w="6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Step</w:t>
            </w:r>
          </w:p>
        </w:tc>
        <w:tc>
          <w:tcPr>
            <w:tcW w:type="dxa" w:w="555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Facilitator Practice</w:t>
            </w:r>
          </w:p>
        </w:tc>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Expected Output</w:t>
            </w:r>
          </w:p>
        </w:tc>
      </w:tr>
      <w:tr>
        <w:trPr>
          <w:cantSplit/>
        </w:trPr>
        <w:tc>
          <w:tcPr>
            <w:tcW w:type="dxa" w:w="6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1</w:t>
            </w:r>
          </w:p>
        </w:tc>
        <w:tc>
          <w:tcPr>
            <w:tcW w:type="dxa" w:w="555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Confirm quorum, scope, period, confidentiality and agenda.</w:t>
            </w:r>
          </w:p>
        </w:tc>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Valid review session</w:t>
            </w:r>
          </w:p>
        </w:tc>
      </w:tr>
      <w:tr>
        <w:trPr>
          <w:cantSplit/>
        </w:trPr>
        <w:tc>
          <w:tcPr>
            <w:tcW w:type="dxa" w:w="6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2</w:t>
            </w:r>
          </w:p>
        </w:tc>
        <w:tc>
          <w:tcPr>
            <w:tcW w:type="dxa" w:w="555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Review prior actions and unresolved decisions first.</w:t>
            </w:r>
          </w:p>
        </w:tc>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Closure / escalation decisions</w:t>
            </w:r>
          </w:p>
        </w:tc>
      </w:tr>
      <w:tr>
        <w:trPr>
          <w:cantSplit/>
        </w:trPr>
        <w:tc>
          <w:tcPr>
            <w:tcW w:type="dxa" w:w="6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3</w:t>
            </w:r>
          </w:p>
        </w:tc>
        <w:tc>
          <w:tcPr>
            <w:tcW w:type="dxa" w:w="555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Review customer outcomes and service performance, then drill into causes and dependencies.</w:t>
            </w:r>
          </w:p>
        </w:tc>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Management understanding of performance</w:t>
            </w:r>
          </w:p>
        </w:tc>
      </w:tr>
      <w:tr>
        <w:trPr>
          <w:cantSplit/>
        </w:trPr>
        <w:tc>
          <w:tcPr>
            <w:tcW w:type="dxa" w:w="6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4</w:t>
            </w:r>
          </w:p>
        </w:tc>
        <w:tc>
          <w:tcPr>
            <w:tcW w:type="dxa" w:w="555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Review changes, risks, outages, supplier issues, competence and assurance results.</w:t>
            </w:r>
          </w:p>
        </w:tc>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Updated priorities / risk decisions</w:t>
            </w:r>
          </w:p>
        </w:tc>
      </w:tr>
      <w:tr>
        <w:trPr>
          <w:cantSplit/>
        </w:trPr>
        <w:tc>
          <w:tcPr>
            <w:tcW w:type="dxa" w:w="6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5</w:t>
            </w:r>
          </w:p>
        </w:tc>
        <w:tc>
          <w:tcPr>
            <w:tcW w:type="dxa" w:w="555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Record explicit decisions, accountable owners and dates.</w:t>
            </w:r>
          </w:p>
        </w:tc>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Decision and action log</w:t>
            </w:r>
          </w:p>
        </w:tc>
      </w:tr>
      <w:tr>
        <w:trPr>
          <w:cantSplit/>
        </w:trPr>
        <w:tc>
          <w:tcPr>
            <w:tcW w:type="dxa" w:w="6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6</w:t>
            </w:r>
          </w:p>
        </w:tc>
        <w:tc>
          <w:tcPr>
            <w:tcW w:type="dxa" w:w="555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Confirm the next review date and any interim reporting required.</w:t>
            </w:r>
          </w:p>
        </w:tc>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Follow-up cadence</w:t>
            </w:r>
          </w:p>
        </w:tc>
      </w:tr>
    </w:tbl>
    <w:p>
      <w:pPr>
        <w:pStyle w:val="Heading1"/>
        <w:keepNext/>
        <w:spacing w:before="120" w:after="60" w:line="252" w:lineRule="auto"/>
      </w:pPr>
      <w:r>
        <w:rPr>
          <w:rFonts w:ascii="Cambria" w:hAnsi="Cambria" w:eastAsia="Cambria"/>
          <w:b/>
          <w:color w:val="1F4E79"/>
          <w:sz w:val="24"/>
        </w:rPr>
        <w:t>7. Interpreting Service Metrics</w:t>
      </w:r>
    </w:p>
    <w:p>
      <w:pPr>
        <w:pStyle w:val="ListBullet"/>
        <w:spacing w:before="0" w:after="50" w:line="252" w:lineRule="auto"/>
      </w:pPr>
      <w:r>
        <w:rPr>
          <w:rFonts w:ascii="Cambria" w:hAnsi="Cambria" w:eastAsia="Cambria"/>
          <w:sz w:val="20"/>
        </w:rPr>
        <w:t>Avoid judging a service by one metric in isolation. For example, faster handling can coincide with poorer accuracy or repeat contacts.</w:t>
      </w:r>
    </w:p>
    <w:p>
      <w:pPr>
        <w:pStyle w:val="ListBullet"/>
        <w:spacing w:before="0" w:after="50" w:line="252" w:lineRule="auto"/>
      </w:pPr>
      <w:r>
        <w:rPr>
          <w:rFonts w:ascii="Cambria" w:hAnsi="Cambria" w:eastAsia="Cambria"/>
          <w:sz w:val="20"/>
        </w:rPr>
        <w:t>Investigate sustained changes, adverse combinations of indicators and recurring customer themes rather than reacting only to normal variation.</w:t>
      </w:r>
    </w:p>
    <w:p>
      <w:pPr>
        <w:pStyle w:val="ListBullet"/>
        <w:spacing w:before="0" w:after="50" w:line="252" w:lineRule="auto"/>
      </w:pPr>
      <w:r>
        <w:rPr>
          <w:rFonts w:ascii="Cambria" w:hAnsi="Cambria" w:eastAsia="Cambria"/>
          <w:sz w:val="20"/>
        </w:rPr>
        <w:t>Where targets are missed, distinguish demand/capacity issues, process weakness, technology constraints, competence issues and data-quality problems.</w:t>
      </w:r>
    </w:p>
    <w:p>
      <w:pPr>
        <w:pStyle w:val="ListBullet"/>
        <w:spacing w:before="0" w:after="50" w:line="252" w:lineRule="auto"/>
      </w:pPr>
      <w:r>
        <w:rPr>
          <w:rFonts w:ascii="Cambria" w:hAnsi="Cambria" w:eastAsia="Cambria"/>
          <w:sz w:val="20"/>
        </w:rPr>
        <w:t>Where targets are met, confirm that the underlying data and customer outcomes support the positive conclusion.</w:t>
      </w:r>
    </w:p>
    <w:p>
      <w:pPr>
        <w:pStyle w:val="Heading1"/>
        <w:keepNext/>
        <w:spacing w:before="120" w:after="60" w:line="252" w:lineRule="auto"/>
      </w:pPr>
      <w:r>
        <w:rPr>
          <w:rFonts w:ascii="Cambria" w:hAnsi="Cambria" w:eastAsia="Cambria"/>
          <w:b/>
          <w:color w:val="1F4E79"/>
          <w:sz w:val="24"/>
        </w:rPr>
        <w:t>8. Decisions and Action Quality</w:t>
      </w:r>
    </w:p>
    <w:tbl>
      <w:tblPr>
        <w:tblW w:type="auto" w:w="0"/>
        <w:jc w:val="center"/>
        <w:tblLayout w:type="fixed"/>
        <w:tblLook w:val="04A0"/>
      </w:tblPr>
      <w:tblGrid>
        <w:gridCol w:w="4677"/>
        <w:gridCol w:w="4677"/>
      </w:tblGrid>
      <w:tr>
        <w:trPr>
          <w:tblHeader w:val="true"/>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Decision / Action Test</w:t>
            </w:r>
          </w:p>
        </w:tc>
        <w:tc>
          <w:tcPr>
            <w:tcW w:type="dxa" w:w="69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Good Practice</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Specific</w:t>
            </w:r>
          </w:p>
        </w:tc>
        <w:tc>
          <w:tcPr>
            <w:tcW w:type="dxa" w:w="69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State the service issue or opportunity and the required change.</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Accountable</w:t>
            </w:r>
          </w:p>
        </w:tc>
        <w:tc>
          <w:tcPr>
            <w:tcW w:type="dxa" w:w="69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Assign one responsible owner or clearly defined accountable role.</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Time-bound</w:t>
            </w:r>
          </w:p>
        </w:tc>
        <w:tc>
          <w:tcPr>
            <w:tcW w:type="dxa" w:w="69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Set a due date proportionate to service/customer risk.</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Evidence-based</w:t>
            </w:r>
          </w:p>
        </w:tc>
        <w:tc>
          <w:tcPr>
            <w:tcW w:type="dxa" w:w="69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Define what evidence will demonstrate implementation.</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Effectiveness-oriented</w:t>
            </w:r>
          </w:p>
        </w:tc>
        <w:tc>
          <w:tcPr>
            <w:tcW w:type="dxa" w:w="69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For systemic or high-impact items, define how effectiveness will be checked after implementation.</w:t>
            </w:r>
          </w:p>
        </w:tc>
      </w:tr>
    </w:tbl>
    <w:p>
      <w:pPr>
        <w:pStyle w:val="Heading1"/>
        <w:keepNext/>
        <w:spacing w:before="120" w:after="60" w:line="252" w:lineRule="auto"/>
      </w:pPr>
      <w:r>
        <w:rPr>
          <w:rFonts w:ascii="Cambria" w:hAnsi="Cambria" w:eastAsia="Cambria"/>
          <w:b/>
          <w:color w:val="1F4E79"/>
          <w:sz w:val="24"/>
        </w:rPr>
        <w:t>9. Common Review Weaknesses</w:t>
      </w:r>
    </w:p>
    <w:p>
      <w:pPr>
        <w:pStyle w:val="ListBullet"/>
        <w:spacing w:before="0" w:after="50" w:line="252" w:lineRule="auto"/>
      </w:pPr>
      <w:r>
        <w:rPr>
          <w:rFonts w:ascii="Cambria" w:hAnsi="Cambria" w:eastAsia="Cambria"/>
          <w:sz w:val="20"/>
        </w:rPr>
        <w:t>A dashboard is presented without decisions, challenge or action ownership.</w:t>
      </w:r>
    </w:p>
    <w:p>
      <w:pPr>
        <w:pStyle w:val="ListBullet"/>
        <w:spacing w:before="0" w:after="50" w:line="252" w:lineRule="auto"/>
      </w:pPr>
      <w:r>
        <w:rPr>
          <w:rFonts w:ascii="Cambria" w:hAnsi="Cambria" w:eastAsia="Cambria"/>
          <w:sz w:val="20"/>
        </w:rPr>
        <w:t>Operational measures dominate while customer outcomes, complaints, accessibility or quality trends are not considered.</w:t>
      </w:r>
    </w:p>
    <w:p>
      <w:pPr>
        <w:pStyle w:val="ListBullet"/>
        <w:spacing w:before="0" w:after="50" w:line="252" w:lineRule="auto"/>
      </w:pPr>
      <w:r>
        <w:rPr>
          <w:rFonts w:ascii="Cambria" w:hAnsi="Cambria" w:eastAsia="Cambria"/>
          <w:sz w:val="20"/>
        </w:rPr>
        <w:t>Different reports use inconsistent KPI definitions or unexplained exclusions.</w:t>
      </w:r>
    </w:p>
    <w:p>
      <w:pPr>
        <w:pStyle w:val="ListBullet"/>
        <w:spacing w:before="0" w:after="50" w:line="252" w:lineRule="auto"/>
      </w:pPr>
      <w:r>
        <w:rPr>
          <w:rFonts w:ascii="Cambria" w:hAnsi="Cambria" w:eastAsia="Cambria"/>
          <w:sz w:val="20"/>
        </w:rPr>
        <w:t>Open audit, complaint or exercise actions are repeatedly carried forward without escalation.</w:t>
      </w:r>
    </w:p>
    <w:p>
      <w:pPr>
        <w:pStyle w:val="ListBullet"/>
        <w:spacing w:before="0" w:after="50" w:line="252" w:lineRule="auto"/>
      </w:pPr>
      <w:r>
        <w:rPr>
          <w:rFonts w:ascii="Cambria" w:hAnsi="Cambria" w:eastAsia="Cambria"/>
          <w:sz w:val="20"/>
        </w:rPr>
        <w:t>Minutes record discussion but not decisions, accountable owners, due dates or follow-up evidence.</w:t>
      </w:r>
    </w:p>
    <w:p>
      <w:pPr>
        <w:pStyle w:val="Heading1"/>
        <w:keepNext/>
        <w:spacing w:before="120" w:after="60" w:line="252" w:lineRule="auto"/>
      </w:pPr>
      <w:r>
        <w:rPr>
          <w:rFonts w:ascii="Cambria" w:hAnsi="Cambria" w:eastAsia="Cambria"/>
          <w:b/>
          <w:color w:val="1F4E79"/>
          <w:sz w:val="24"/>
        </w:rPr>
        <w:t>10. Follow-Up and Records</w:t>
      </w:r>
    </w:p>
    <w:p>
      <w:pPr>
        <w:spacing w:before="0" w:after="80" w:line="252" w:lineRule="auto"/>
      </w:pPr>
      <w:r>
        <w:rPr>
          <w:rFonts w:ascii="Cambria" w:hAnsi="Cambria" w:eastAsia="Cambria"/>
          <w:i w:val="0"/>
          <w:sz w:val="20"/>
        </w:rPr>
        <w:t>Issue approved minutes promptly, maintain the controlled action tracker, escalate overdue material actions and retain the review evidence required by the organization. Feed relevant decisions into objectives, workforce plans, training, technology changes, supplier governance, audits and improvement activities.</w:t>
      </w:r>
    </w:p>
    <w:p>
      <w:pPr>
        <w:pStyle w:val="Heading1"/>
        <w:keepNext/>
        <w:spacing w:before="120" w:after="60" w:line="252" w:lineRule="auto"/>
      </w:pPr>
      <w:r>
        <w:rPr>
          <w:rFonts w:ascii="Cambria" w:hAnsi="Cambria" w:eastAsia="Cambria"/>
          <w:b/>
          <w:color w:val="1F4E79"/>
          <w:sz w:val="24"/>
        </w:rPr>
        <w:t>References and Related Sources</w:t>
      </w:r>
    </w:p>
    <w:tbl>
      <w:tblPr>
        <w:tblW w:type="auto" w:w="0"/>
        <w:jc w:val="center"/>
        <w:tblLayout w:type="fixed"/>
        <w:tblLook w:val="04A0"/>
      </w:tblPr>
      <w:tblGrid>
        <w:gridCol w:w="3118"/>
        <w:gridCol w:w="3118"/>
        <w:gridCol w:w="3118"/>
      </w:tblGrid>
      <w:tr>
        <w:trPr>
          <w:tblHeader w:val="true"/>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Reference</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Use in this document</w:t>
            </w:r>
          </w:p>
        </w:tc>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Source / Location</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ISO 18295-1:2017</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Requirements for customer contact centres; applicable to in-house and outsourced contact centres across interaction channels.</w:t>
            </w:r>
          </w:p>
        </w:tc>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https://www.iso.org/standard/64739.html</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ISO 18295-2:2017</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Requirements for organizations using customer contact centre services; relevant to client/service-provider arrangements.</w:t>
            </w:r>
          </w:p>
        </w:tc>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https://www.iso.org/standard/64740.html</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ISO/AWI 18295-1</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Revision project for Part 1; monitor for future replacement of the 2017 edition.</w:t>
            </w:r>
          </w:p>
        </w:tc>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https://www.iso.org/standard/94393.html</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ISO/AWI 18295-2</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Revision project for Part 2; monitor for future replacement of the 2017 edition.</w:t>
            </w:r>
          </w:p>
        </w:tc>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https://www.iso.org/standard/94394.html</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Organization service documentation</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Approved service scope, client requirements, scripts/knowledge, QA records, workforce records, complaints, KPI and review records.</w:t>
            </w:r>
          </w:p>
        </w:tc>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[INTERNAL SOURCE / REPOSITORY]</w:t>
            </w:r>
          </w:p>
        </w:tc>
      </w:tr>
    </w:tbl>
    <w:p>
      <w:pPr>
        <w:pStyle w:val="Heading1"/>
        <w:keepNext/>
        <w:spacing w:before="120" w:after="60" w:line="252" w:lineRule="auto"/>
      </w:pPr>
      <w:r>
        <w:rPr>
          <w:rFonts w:ascii="Cambria" w:hAnsi="Cambria" w:eastAsia="Cambria"/>
          <w:b/>
          <w:color w:val="1F4E79"/>
          <w:sz w:val="24"/>
        </w:rPr>
        <w:t>Revision and Approval</w:t>
      </w:r>
    </w:p>
    <w:tbl>
      <w:tblPr>
        <w:tblW w:type="auto" w:w="0"/>
        <w:jc w:val="center"/>
        <w:tblLayout w:type="fixed"/>
        <w:tblLook w:val="04A0"/>
      </w:tblPr>
      <w:tblGrid>
        <w:gridCol w:w="1871"/>
        <w:gridCol w:w="1871"/>
        <w:gridCol w:w="1871"/>
        <w:gridCol w:w="1871"/>
        <w:gridCol w:w="1871"/>
      </w:tblGrid>
      <w:tr>
        <w:trPr>
          <w:tblHeader w:val="true"/>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Version</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Date</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Change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Document Owner</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Approver</w:t>
            </w:r>
          </w:p>
        </w:tc>
      </w:tr>
      <w:tr>
        <w:trPr>
          <w:cantSplit/>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1.0</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2026-09-18</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Initial issue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Service Management Lead</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Senior Management</w:t>
            </w:r>
          </w:p>
        </w:tc>
      </w:tr>
    </w:tbl>
    <w:sectPr w:rsidR="00FC693F" w:rsidRPr="0006063C" w:rsidSect="00034616">
      <w:headerReference w:type="default" r:id="rId9"/>
      <w:footerReference w:type="default" r:id="rId10"/>
      <w:pgSz w:w="11906" w:h="16838"/>
      <w:pgMar w:top="1134" w:right="1134" w:bottom="1134" w:left="1417" w:header="397"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Footer"/>
      <w:spacing w:after="20"/>
      <w:jc w:val="center"/>
    </w:pPr>
    <w:r/>
    <w:r>
      <w:rPr>
        <w:rFonts w:ascii="Cambria" w:hAnsi="Cambria" w:eastAsia="Cambria"/>
        <w:color w:val="666666"/>
        <w:sz w:val="16"/>
      </w:rPr>
      <w:t>Copyright © ISO Toolkits | www.iso-toolkits.org | info@iso-toolkits.org</w:t>
    </w:r>
  </w:p>
  <w:p>
    <w:pPr>
      <w:spacing w:after="0"/>
      <w:jc w:val="center"/>
    </w:pPr>
    <w:r>
      <w:rPr>
        <w:rFonts w:ascii="Cambria" w:hAnsi="Cambria" w:eastAsia="Cambria"/>
        <w:color w:val="666666"/>
        <w:sz w:val="16"/>
      </w:rPr>
      <w:t xml:space="preserve">CONTROLLED DOCUMENT | INTERNAL | Page </w:t>
    </w:r>
    <w:r>
      <w:rPr>
        <w:rFonts w:ascii="Cambria" w:hAnsi="Cambria" w:eastAsia="Cambria"/>
        <w:color w:val="666666"/>
        <w:sz w:val="16"/>
      </w:rPr>
      <w:fldChar w:fldCharType="begin"/>
      <w:instrText xml:space="preserve"> PAGE </w:instrText>
      <w:fldChar w:fldCharType="end"/>
    </w:r>
    <w:r>
      <w:rPr>
        <w:rFonts w:ascii="Cambria" w:hAnsi="Cambria" w:eastAsia="Cambria"/>
        <w:color w:val="666666"/>
        <w:sz w:val="16"/>
      </w:rPr>
      <w:t xml:space="preserve"> of </w:t>
    </w:r>
    <w:r>
      <w:rPr>
        <w:rFonts w:ascii="Cambria" w:hAnsi="Cambria" w:eastAsia="Cambria"/>
        <w:color w:val="666666"/>
        <w:sz w:val="16"/>
      </w:rP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Header"/>
      <w:spacing w:after="0"/>
    </w:pPr>
    <w:r/>
  </w:p>
  <w:tbl>
    <w:tblPr>
      <w:tblW w:type="auto" w:w="0"/>
      <w:jc w:val="center"/>
      <w:tblLayout w:type="fixed"/>
      <w:tblLook w:val="04A0"/>
    </w:tblPr>
    <w:tblGrid>
      <w:gridCol w:w="3118"/>
      <w:gridCol w:w="3118"/>
      <w:gridCol w:w="3118"/>
    </w:tblGrid>
    <w:tr>
      <w:tc>
        <w:tcPr>
          <w:tcW w:type="dxa" w:w="1814"/>
          <w:tcMar>
            <w:top w:w="20" w:type="dxa"/>
            <w:left w:w="40" w:type="dxa"/>
            <w:bottom w:w="20" w:type="dxa"/>
            <w:right w:w="40" w:type="dxa"/>
          </w:tcMar>
        </w:tcPr>
        <w:p>
          <w:pPr>
            <w:jc w:val="center"/>
          </w:pPr>
          <w:r>
            <w:rPr>
              <w:rFonts w:ascii="Cambria" w:hAnsi="Cambria" w:eastAsia="Cambria"/>
              <w:color w:val="666666"/>
              <w:sz w:val="16"/>
            </w:rPr>
            <w:t>ORGANIZATION</w:t>
            <w:br/>
            <w:t>LOGO</w:t>
          </w:r>
        </w:p>
      </w:tc>
      <w:tc>
        <w:tcPr>
          <w:tcW w:type="dxa" w:w="5216"/>
          <w:tcMar>
            <w:top w:w="20" w:type="dxa"/>
            <w:left w:w="40" w:type="dxa"/>
            <w:bottom w:w="20" w:type="dxa"/>
            <w:right w:w="40" w:type="dxa"/>
          </w:tcMar>
        </w:tcPr>
        <w:p>
          <w:pPr>
            <w:jc w:val="center"/>
          </w:pPr>
          <w:r>
            <w:rPr>
              <w:rFonts w:ascii="Cambria" w:hAnsi="Cambria" w:eastAsia="Cambria"/>
              <w:color w:val="666666"/>
              <w:sz w:val="16"/>
            </w:rPr>
            <w:t>[ORGANIZATION NAME]</w:t>
            <w:br/>
          </w:r>
          <w:r>
            <w:rPr>
              <w:rFonts w:ascii="Cambria" w:hAnsi="Cambria" w:eastAsia="Cambria"/>
              <w:b/>
              <w:color w:val="1F4E79"/>
              <w:sz w:val="18"/>
            </w:rPr>
            <w:t>Service Management Review Guidance</w:t>
          </w:r>
        </w:p>
      </w:tc>
      <w:tc>
        <w:tcPr>
          <w:tcW w:type="dxa" w:w="2324"/>
          <w:tcMar>
            <w:top w:w="20" w:type="dxa"/>
            <w:left w:w="40" w:type="dxa"/>
            <w:bottom w:w="20" w:type="dxa"/>
            <w:right w:w="40" w:type="dxa"/>
          </w:tcMar>
        </w:tcPr>
        <w:p>
          <w:pPr>
            <w:jc w:val="right"/>
          </w:pPr>
          <w:r>
            <w:rPr>
              <w:rFonts w:ascii="Cambria" w:hAnsi="Cambria" w:eastAsia="Cambria"/>
              <w:b/>
              <w:color w:val="666666"/>
              <w:sz w:val="16"/>
            </w:rPr>
            <w:t>CCC-GOV-003</w:t>
            <w:br/>
          </w:r>
          <w:r>
            <w:rPr>
              <w:rFonts w:ascii="Cambria" w:hAnsi="Cambria" w:eastAsia="Cambria"/>
              <w:color w:val="666666"/>
              <w:sz w:val="16"/>
            </w:rPr>
            <w:t>Version 1.0</w:t>
            <w:br/>
          </w:r>
          <w:r>
            <w:rPr>
              <w:rFonts w:ascii="Cambria" w:hAnsi="Cambria" w:eastAsia="Cambria"/>
              <w:color w:val="666666"/>
              <w:sz w:val="16"/>
            </w:rPr>
            <w:t>Effective 2026-09-18</w:t>
          </w:r>
        </w:p>
      </w:tc>
    </w:tr>
  </w:tbl>
  <w:p>
    <w:pPr>
      <w:spacing w:after="0"/>
      <w:pBdr>
        <w:bottom w:val="single" w:sz="8" w:color="1F4E79" w:space="1"/>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mbria" w:hAnsi="Cambria"/>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4E79"/>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mbria" w:hAnsi="Cambria"/>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mbria" w:hAnsi="Cambria"/>
      <w:sz w:val="20"/>
    </w:rPr>
  </w:style>
  <w:style w:type="paragraph" w:styleId="ListBullet2">
    <w:name w:val="List Bullet 2"/>
    <w:basedOn w:val="Normal"/>
    <w:uiPriority w:val="99"/>
    <w:unhideWhenUsed/>
    <w:rsid w:val="00326F90"/>
    <w:pPr>
      <w:numPr>
        <w:numId w:val="2"/>
      </w:numPr>
      <w:contextualSpacing/>
    </w:pPr>
    <w:rPr>
      <w:rFonts w:ascii="Cambria" w:hAnsi="Cambria"/>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