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60" w:after="80"/>
        <w:pBdr>
          <w:bottom w:val="single" w:sz="8" w:color="1F4E79" w:space="4"/>
        </w:pBdr>
      </w:pPr>
      <w:r>
        <w:rPr>
          <w:rFonts w:ascii="Cambria" w:hAnsi="Cambria" w:eastAsia="Cambria"/>
          <w:b/>
          <w:color w:val="1F4E79"/>
          <w:sz w:val="40"/>
        </w:rPr>
        <w:t>SERVICE MANAGEMENT MANUAL</w:t>
      </w:r>
    </w:p>
    <w:p>
      <w:pPr>
        <w:spacing w:after="120"/>
      </w:pPr>
      <w:r>
        <w:rPr>
          <w:rFonts w:ascii="Cambria" w:hAnsi="Cambria" w:eastAsia="Cambria"/>
          <w:b/>
          <w:sz w:val="23"/>
        </w:rPr>
        <w:t>ISO 18295-1:2017 / ISO 18295-2:2017</w:t>
      </w:r>
    </w:p>
    <w:tbl>
      <w:tblPr>
        <w:tblW w:type="auto" w:w="0"/>
        <w:jc w:val="center"/>
        <w:tblLayout w:type="fixed"/>
        <w:tblLook w:val="04A0"/>
      </w:tblPr>
      <w:tblGrid>
        <w:gridCol w:w="4677"/>
        <w:gridCol w:w="4677"/>
      </w:tblGrid>
      <w:tr>
        <w:trPr>
          <w:tblHeader w:val="true"/>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Document Owner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Approver</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Service Management Lead</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Senior Management</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Classification: INTERNAL</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Next Review: 2027-09-18</w:t>
            </w:r>
          </w:p>
        </w:tc>
      </w:tr>
    </w:tbl>
    <w:p>
      <w:pPr>
        <w:spacing w:after="40"/>
      </w:pPr>
    </w:p>
    <w:p>
      <w:pPr>
        <w:pStyle w:val="Heading1"/>
        <w:keepNext/>
        <w:spacing w:before="120" w:after="60" w:line="252" w:lineRule="auto"/>
      </w:pPr>
      <w:r>
        <w:rPr>
          <w:rFonts w:ascii="Cambria" w:hAnsi="Cambria" w:eastAsia="Cambria"/>
          <w:b/>
          <w:color w:val="1F4E79"/>
          <w:sz w:val="24"/>
        </w:rPr>
        <w:t>1. Purpose</w:t>
      </w:r>
    </w:p>
    <w:p>
      <w:pPr>
        <w:spacing w:before="0" w:after="80" w:line="252" w:lineRule="auto"/>
      </w:pPr>
      <w:r>
        <w:rPr>
          <w:rFonts w:ascii="Cambria" w:hAnsi="Cambria" w:eastAsia="Cambria"/>
          <w:i w:val="0"/>
          <w:sz w:val="20"/>
        </w:rPr>
        <w:t>Define the organization’s customer contact centre service management framework, key processes, responsibilities, controls and assurance arrangements so services are consistently designed, delivered, monitored and improved.</w:t>
      </w:r>
    </w:p>
    <w:tbl>
      <w:tblPr>
        <w:tblW w:type="auto" w:w="0"/>
        <w:jc w:val="center"/>
        <w:tblLayout w:type="autofit"/>
        <w:tblLook w:val="04A0"/>
      </w:tblPr>
      <w:tblGrid>
        <w:gridCol w:w="9355"/>
      </w:tblGrid>
      <w:tr>
        <w:trPr>
          <w:cantSplit/>
        </w:trP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Replace organization-specific placeholders and confirm contractual, privacy, recording, accessibility and sector requirements from authoritative sources before controlled release.</w:t>
            </w:r>
          </w:p>
        </w:tc>
      </w:tr>
    </w:tbl>
    <w:p>
      <w:pPr>
        <w:spacing w:after="20"/>
      </w:pPr>
    </w:p>
    <w:p>
      <w:pPr>
        <w:pStyle w:val="Heading1"/>
        <w:keepNext/>
        <w:spacing w:before="120" w:after="60" w:line="252" w:lineRule="auto"/>
      </w:pPr>
      <w:r>
        <w:rPr>
          <w:rFonts w:ascii="Cambria" w:hAnsi="Cambria" w:eastAsia="Cambria"/>
          <w:b/>
          <w:color w:val="1F4E79"/>
          <w:sz w:val="24"/>
        </w:rPr>
        <w:t>2. Service Management System Scope</w:t>
      </w:r>
    </w:p>
    <w:tbl>
      <w:tblPr>
        <w:tblW w:type="auto" w:w="0"/>
        <w:jc w:val="center"/>
        <w:tblLayout w:type="fixed"/>
        <w:tblLook w:val="04A0"/>
      </w:tblPr>
      <w:tblGrid>
        <w:gridCol w:w="4677"/>
        <w:gridCol w:w="4677"/>
      </w:tblGrid>
      <w:tr>
        <w:trPr>
          <w:tblHeader w:val="true"/>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Scope Element</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Controlled Entry</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Organization</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[ORGANIZATION NAME]</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Contact Centre / Service</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[SERVICE / CENTRE NAME]</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Operating Model</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[IN-HOUSE / OUTSOURCED / HYBRID]</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Included Channels</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[VOICE / EMAIL / CHAT / SOCIAL / MESSAGING / OTHER]</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Included Sites / Teams</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[SITES / REMOTE TEAMS / SUPPLIERS]</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Customers / Client Groups</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[CUSTOMER / USER GROUPS]</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Exclusions / Boundaries</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[DOCUMENT AND JUSTIFY]</w:t>
            </w:r>
          </w:p>
        </w:tc>
      </w:tr>
    </w:tbl>
    <w:p>
      <w:pPr>
        <w:pStyle w:val="Heading1"/>
        <w:keepNext/>
        <w:spacing w:before="120" w:after="60" w:line="252" w:lineRule="auto"/>
      </w:pPr>
      <w:r>
        <w:rPr>
          <w:rFonts w:ascii="Cambria" w:hAnsi="Cambria" w:eastAsia="Cambria"/>
          <w:b/>
          <w:color w:val="1F4E79"/>
          <w:sz w:val="24"/>
        </w:rPr>
        <w:t>3. Applicable ISO Framework</w:t>
      </w:r>
    </w:p>
    <w:p>
      <w:pPr>
        <w:spacing w:before="0" w:after="80" w:line="252" w:lineRule="auto"/>
      </w:pPr>
      <w:r>
        <w:rPr>
          <w:rFonts w:ascii="Cambria" w:hAnsi="Cambria" w:eastAsia="Cambria"/>
          <w:i w:val="0"/>
          <w:sz w:val="20"/>
        </w:rPr>
        <w:t>ISO 18295-1:2017 is the primary published service-requirement baseline for customer contact centres, including in-house and outsourced centres across interaction channels. ISO 18295-2:2017 is applied where the organization acts as a client using contact centre services and needs to control service requirements and the client-provider relationship.</w:t>
      </w:r>
    </w:p>
    <w:p>
      <w:pPr>
        <w:pStyle w:val="Heading1"/>
        <w:keepNext/>
        <w:spacing w:before="120" w:after="60" w:line="252" w:lineRule="auto"/>
      </w:pPr>
      <w:r>
        <w:rPr>
          <w:rFonts w:ascii="Cambria" w:hAnsi="Cambria" w:eastAsia="Cambria"/>
          <w:b/>
          <w:color w:val="1F4E79"/>
          <w:sz w:val="24"/>
        </w:rPr>
        <w:t>4. Organizational Context and Service Requirements</w:t>
      </w:r>
    </w:p>
    <w:p>
      <w:pPr>
        <w:pStyle w:val="ListBullet"/>
        <w:spacing w:before="0" w:after="50" w:line="252" w:lineRule="auto"/>
      </w:pPr>
      <w:r>
        <w:rPr>
          <w:rFonts w:ascii="Cambria" w:hAnsi="Cambria" w:eastAsia="Cambria"/>
          <w:sz w:val="20"/>
        </w:rPr>
        <w:t>Service purpose, customer groups, operating channels, hours and geographic/language coverage are understood and reviewed.</w:t>
      </w:r>
    </w:p>
    <w:p>
      <w:pPr>
        <w:pStyle w:val="ListBullet"/>
        <w:spacing w:before="0" w:after="50" w:line="252" w:lineRule="auto"/>
      </w:pPr>
      <w:r>
        <w:rPr>
          <w:rFonts w:ascii="Cambria" w:hAnsi="Cambria" w:eastAsia="Cambria"/>
          <w:sz w:val="20"/>
        </w:rPr>
        <w:t>Client/business-owner requirements, contractual commitments and service levels are documented and controlled.</w:t>
      </w:r>
    </w:p>
    <w:p>
      <w:pPr>
        <w:pStyle w:val="ListBullet"/>
        <w:spacing w:before="0" w:after="50" w:line="252" w:lineRule="auto"/>
      </w:pPr>
      <w:r>
        <w:rPr>
          <w:rFonts w:ascii="Cambria" w:hAnsi="Cambria" w:eastAsia="Cambria"/>
          <w:sz w:val="20"/>
        </w:rPr>
        <w:t>Customer needs, feedback, complaints and accessibility expectations inform service design and improvement.</w:t>
      </w:r>
    </w:p>
    <w:p>
      <w:pPr>
        <w:pStyle w:val="ListBullet"/>
        <w:spacing w:before="0" w:after="50" w:line="252" w:lineRule="auto"/>
      </w:pPr>
      <w:r>
        <w:rPr>
          <w:rFonts w:ascii="Cambria" w:hAnsi="Cambria" w:eastAsia="Cambria"/>
          <w:sz w:val="20"/>
        </w:rPr>
        <w:t>Applicable legal, regulatory, privacy, recording, accessibility and sector requirements are verified from authoritative sources and assigned to accountable owners.</w:t>
      </w:r>
    </w:p>
    <w:p>
      <w:pPr>
        <w:pStyle w:val="ListBullet"/>
        <w:spacing w:before="0" w:after="50" w:line="252" w:lineRule="auto"/>
      </w:pPr>
      <w:r>
        <w:rPr>
          <w:rFonts w:ascii="Cambria" w:hAnsi="Cambria" w:eastAsia="Cambria"/>
          <w:sz w:val="20"/>
        </w:rPr>
        <w:t>Material changes in demand, technology, outsourcing, channels or customer needs trigger review of relevant service controls.</w:t>
      </w:r>
    </w:p>
    <w:p>
      <w:pPr>
        <w:pStyle w:val="Heading1"/>
        <w:keepNext/>
        <w:spacing w:before="120" w:after="60" w:line="252" w:lineRule="auto"/>
      </w:pPr>
      <w:r>
        <w:rPr>
          <w:rFonts w:ascii="Cambria" w:hAnsi="Cambria" w:eastAsia="Cambria"/>
          <w:b/>
          <w:color w:val="1F4E79"/>
          <w:sz w:val="24"/>
        </w:rPr>
        <w:t>5. Governance and Responsibilities</w:t>
      </w:r>
    </w:p>
    <w:tbl>
      <w:tblPr>
        <w:tblW w:type="auto" w:w="0"/>
        <w:jc w:val="center"/>
        <w:tblLayout w:type="fixed"/>
        <w:tblLook w:val="04A0"/>
      </w:tblPr>
      <w:tblGrid>
        <w:gridCol w:w="4677"/>
        <w:gridCol w:w="4677"/>
      </w:tblGrid>
      <w:tr>
        <w:trPr>
          <w:tblHeader w:val="true"/>
        </w:trPr>
        <w:tc>
          <w:tcPr>
            <w:tcW w:type="dxa" w:w="300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Role</w:t>
            </w:r>
          </w:p>
        </w:tc>
        <w:tc>
          <w:tcPr>
            <w:tcW w:type="dxa" w:w="63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Core Accountability</w:t>
            </w:r>
          </w:p>
        </w:tc>
      </w:tr>
      <w:tr>
        <w:trPr>
          <w:cantSplit/>
        </w:trPr>
        <w:tc>
          <w:tcPr>
            <w:tcW w:type="dxa" w:w="300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Senior Management / Service Sponsor</w:t>
            </w:r>
          </w:p>
        </w:tc>
        <w:tc>
          <w:tcPr>
            <w:tcW w:type="dxa" w:w="63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Approve direction, objectives and resources; resolve material service risks; chair or sponsor management review.</w:t>
            </w:r>
          </w:p>
        </w:tc>
      </w:tr>
      <w:tr>
        <w:trPr>
          <w:cantSplit/>
        </w:trPr>
        <w:tc>
          <w:tcPr>
            <w:tcW w:type="dxa" w:w="300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Service Management Lead</w:t>
            </w:r>
          </w:p>
        </w:tc>
        <w:tc>
          <w:tcPr>
            <w:tcW w:type="dxa" w:w="63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Coordinate the service management system, controlled documentation, cross-functional performance and improvement.</w:t>
            </w:r>
          </w:p>
        </w:tc>
      </w:tr>
      <w:tr>
        <w:trPr>
          <w:cantSplit/>
        </w:trPr>
        <w:tc>
          <w:tcPr>
            <w:tcW w:type="dxa" w:w="300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Operations Lead</w:t>
            </w:r>
          </w:p>
        </w:tc>
        <w:tc>
          <w:tcPr>
            <w:tcW w:type="dxa" w:w="63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Deliver service, manage queues/capacity, operational adherence, escalations and daily control.</w:t>
            </w:r>
          </w:p>
        </w:tc>
      </w:tr>
      <w:tr>
        <w:trPr>
          <w:cantSplit/>
        </w:trPr>
        <w:tc>
          <w:tcPr>
            <w:tcW w:type="dxa" w:w="300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Workforce Management</w:t>
            </w:r>
          </w:p>
        </w:tc>
        <w:tc>
          <w:tcPr>
            <w:tcW w:type="dxa" w:w="63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Forecast demand, schedule resources, monitor capacity and support real-time service response.</w:t>
            </w:r>
          </w:p>
        </w:tc>
      </w:tr>
      <w:tr>
        <w:trPr>
          <w:cantSplit/>
        </w:trPr>
        <w:tc>
          <w:tcPr>
            <w:tcW w:type="dxa" w:w="300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Quality / Training / Knowledge</w:t>
            </w:r>
          </w:p>
        </w:tc>
        <w:tc>
          <w:tcPr>
            <w:tcW w:type="dxa" w:w="63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Operate QA, calibration, competence, coaching and controlled knowledge processes.</w:t>
            </w:r>
          </w:p>
        </w:tc>
      </w:tr>
      <w:tr>
        <w:trPr>
          <w:cantSplit/>
        </w:trPr>
        <w:tc>
          <w:tcPr>
            <w:tcW w:type="dxa" w:w="300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Technology / Support</w:t>
            </w:r>
          </w:p>
        </w:tc>
        <w:tc>
          <w:tcPr>
            <w:tcW w:type="dxa" w:w="63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Maintain service platforms, availability, changes, incident support and continuity arrangements.</w:t>
            </w:r>
          </w:p>
        </w:tc>
      </w:tr>
      <w:tr>
        <w:trPr>
          <w:cantSplit/>
        </w:trPr>
        <w:tc>
          <w:tcPr>
            <w:tcW w:type="dxa" w:w="300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Process / Business / Client Owner</w:t>
            </w:r>
          </w:p>
        </w:tc>
        <w:tc>
          <w:tcPr>
            <w:tcW w:type="dxa" w:w="63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Define requirements, validate service commitments and own relevant decisions.</w:t>
            </w:r>
          </w:p>
        </w:tc>
      </w:tr>
      <w:tr>
        <w:trPr>
          <w:cantSplit/>
        </w:trPr>
        <w:tc>
          <w:tcPr>
            <w:tcW w:type="dxa" w:w="300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Internal Audit / Assurance</w:t>
            </w:r>
          </w:p>
        </w:tc>
        <w:tc>
          <w:tcPr>
            <w:tcW w:type="dxa" w:w="63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Provide objective assurance over selected service controls and follow-up.</w:t>
            </w:r>
          </w:p>
        </w:tc>
      </w:tr>
    </w:tbl>
    <w:p>
      <w:pPr>
        <w:pStyle w:val="Heading1"/>
        <w:keepNext/>
        <w:spacing w:before="120" w:after="60" w:line="252" w:lineRule="auto"/>
      </w:pPr>
      <w:r>
        <w:rPr>
          <w:rFonts w:ascii="Cambria" w:hAnsi="Cambria" w:eastAsia="Cambria"/>
          <w:b/>
          <w:color w:val="1F4E79"/>
          <w:sz w:val="24"/>
        </w:rPr>
        <w:t>6. Service Design and Customer Access</w:t>
      </w:r>
    </w:p>
    <w:p>
      <w:pPr>
        <w:spacing w:before="0" w:after="80" w:line="252" w:lineRule="auto"/>
      </w:pPr>
      <w:r>
        <w:rPr>
          <w:rFonts w:ascii="Cambria" w:hAnsi="Cambria" w:eastAsia="Cambria"/>
          <w:i w:val="0"/>
          <w:sz w:val="20"/>
        </w:rPr>
        <w:t>The organization defines how customers access the service, when channels are available, how contacts are routed and transferred, and what accessibility or special-assistance arrangements are required. Published information is controlled so customers receive consistent contact and service information.</w:t>
      </w:r>
    </w:p>
    <w:p>
      <w:pPr>
        <w:pStyle w:val="Heading1"/>
        <w:keepNext/>
        <w:spacing w:before="120" w:after="60" w:line="252" w:lineRule="auto"/>
      </w:pPr>
      <w:r>
        <w:rPr>
          <w:rFonts w:ascii="Cambria" w:hAnsi="Cambria" w:eastAsia="Cambria"/>
          <w:b/>
          <w:color w:val="1F4E79"/>
          <w:sz w:val="24"/>
        </w:rPr>
        <w:t>7. Interaction Management</w:t>
      </w:r>
    </w:p>
    <w:tbl>
      <w:tblPr>
        <w:tblW w:type="auto" w:w="0"/>
        <w:jc w:val="center"/>
        <w:tblLayout w:type="fixed"/>
        <w:tblLook w:val="04A0"/>
      </w:tblPr>
      <w:tblGrid>
        <w:gridCol w:w="4677"/>
        <w:gridCol w:w="4677"/>
      </w:tblGrid>
      <w:tr>
        <w:trPr>
          <w:tblHeader w:val="true"/>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Control</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Framework Expectation</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Opening / identification</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Use approved greeting and identification/authentication steps where required.</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Needs clarification</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Listen, clarify and confirm the customer need before committing to an answer or transfer.</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Information / action</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Use approved knowledge and processes; avoid unsupported commitments.</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Transfer / escalation</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Use defined routing and escalation criteria and preserve relevant context where permitted.</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Closure</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Confirm the outcome, next step, ownership and expected timing where relevant.</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Record</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Capture the service record required for traceability without unnecessary personal information.</w:t>
            </w:r>
          </w:p>
        </w:tc>
      </w:tr>
    </w:tbl>
    <w:p>
      <w:pPr>
        <w:pStyle w:val="Heading1"/>
        <w:keepNext/>
        <w:spacing w:before="120" w:after="60" w:line="252" w:lineRule="auto"/>
      </w:pPr>
      <w:r>
        <w:rPr>
          <w:rFonts w:ascii="Cambria" w:hAnsi="Cambria" w:eastAsia="Cambria"/>
          <w:b/>
          <w:color w:val="1F4E79"/>
          <w:sz w:val="24"/>
        </w:rPr>
        <w:t>8. Workforce, Competence and Coaching</w:t>
      </w:r>
    </w:p>
    <w:p>
      <w:pPr>
        <w:spacing w:before="0" w:after="80" w:line="252" w:lineRule="auto"/>
      </w:pPr>
      <w:r>
        <w:rPr>
          <w:rFonts w:ascii="Cambria" w:hAnsi="Cambria" w:eastAsia="Cambria"/>
          <w:i w:val="0"/>
          <w:sz w:val="20"/>
        </w:rPr>
        <w:t>Workforce planning translates expected demand into staffing and skill coverage. Competence requirements are defined by role and service complexity. Personnel receive induction, role-specific learning, supervised practice where needed, and ongoing coaching informed by quality and customer evidence.</w:t>
      </w:r>
    </w:p>
    <w:p>
      <w:pPr>
        <w:pStyle w:val="Heading1"/>
        <w:keepNext/>
        <w:spacing w:before="120" w:after="60" w:line="252" w:lineRule="auto"/>
      </w:pPr>
      <w:r>
        <w:rPr>
          <w:rFonts w:ascii="Cambria" w:hAnsi="Cambria" w:eastAsia="Cambria"/>
          <w:b/>
          <w:color w:val="1F4E79"/>
          <w:sz w:val="24"/>
        </w:rPr>
        <w:t>9. Knowledge and Documented Information</w:t>
      </w:r>
    </w:p>
    <w:p>
      <w:pPr>
        <w:spacing w:before="0" w:after="80" w:line="252" w:lineRule="auto"/>
      </w:pPr>
      <w:r>
        <w:rPr>
          <w:rFonts w:ascii="Cambria" w:hAnsi="Cambria" w:eastAsia="Cambria"/>
          <w:i w:val="0"/>
          <w:sz w:val="20"/>
        </w:rPr>
        <w:t>Customer-facing knowledge, scripts, procedures, KPI definitions and forms are controlled through the Documented Information Procedure. Knowledge items have accountable owners, approval state, review triggers and controlled urgent-update methods where required.</w:t>
      </w:r>
    </w:p>
    <w:p>
      <w:pPr>
        <w:pStyle w:val="Heading1"/>
        <w:keepNext/>
        <w:spacing w:before="120" w:after="60" w:line="252" w:lineRule="auto"/>
      </w:pPr>
      <w:r>
        <w:rPr>
          <w:rFonts w:ascii="Cambria" w:hAnsi="Cambria" w:eastAsia="Cambria"/>
          <w:b/>
          <w:color w:val="1F4E79"/>
          <w:sz w:val="24"/>
        </w:rPr>
        <w:t>10. Quality Assurance and Calibration</w:t>
      </w:r>
    </w:p>
    <w:p>
      <w:pPr>
        <w:spacing w:before="0" w:after="80" w:line="252" w:lineRule="auto"/>
      </w:pPr>
      <w:r>
        <w:rPr>
          <w:rFonts w:ascii="Cambria" w:hAnsi="Cambria" w:eastAsia="Cambria"/>
          <w:i w:val="0"/>
          <w:sz w:val="20"/>
        </w:rPr>
        <w:t>Quality monitoring uses defined criteria and representative, risk-based sampling. Evaluators are competent, calibration is performed at planned intervals, critical errors are escalated, and coaching or process actions are traced to identified themes. Quality results are used to improve both people performance and underlying service controls.</w:t>
      </w:r>
    </w:p>
    <w:p>
      <w:pPr>
        <w:pStyle w:val="Heading1"/>
        <w:keepNext/>
        <w:spacing w:before="120" w:after="60" w:line="252" w:lineRule="auto"/>
      </w:pPr>
      <w:r>
        <w:rPr>
          <w:rFonts w:ascii="Cambria" w:hAnsi="Cambria" w:eastAsia="Cambria"/>
          <w:b/>
          <w:color w:val="1F4E79"/>
          <w:sz w:val="24"/>
        </w:rPr>
        <w:t>11. Service Performance and Indicators</w:t>
      </w:r>
    </w:p>
    <w:p>
      <w:pPr>
        <w:spacing w:before="0" w:after="80" w:line="252" w:lineRule="auto"/>
      </w:pPr>
      <w:r>
        <w:rPr>
          <w:rFonts w:ascii="Cambria" w:hAnsi="Cambria" w:eastAsia="Cambria"/>
          <w:i w:val="0"/>
          <w:sz w:val="20"/>
        </w:rPr>
        <w:t>Performance measures are defined in a controlled KPI catalogue with purpose, calculation, data source, exclusions, frequency, owner and target/threshold where appropriate. Management considers a balanced set of customer, quality, accessibility, capacity, efficiency and complaint indicators rather than relying on a single metric.</w:t>
      </w:r>
    </w:p>
    <w:p>
      <w:pPr>
        <w:pStyle w:val="Heading1"/>
        <w:keepNext/>
        <w:spacing w:before="120" w:after="60" w:line="252" w:lineRule="auto"/>
      </w:pPr>
      <w:r>
        <w:rPr>
          <w:rFonts w:ascii="Cambria" w:hAnsi="Cambria" w:eastAsia="Cambria"/>
          <w:b/>
          <w:color w:val="1F4E79"/>
          <w:sz w:val="24"/>
        </w:rPr>
        <w:t>12. Customer Feedback, Complaints and Escalations</w:t>
      </w:r>
    </w:p>
    <w:p>
      <w:pPr>
        <w:spacing w:before="0" w:after="80" w:line="252" w:lineRule="auto"/>
      </w:pPr>
      <w:r>
        <w:rPr>
          <w:rFonts w:ascii="Cambria" w:hAnsi="Cambria" w:eastAsia="Cambria"/>
          <w:i w:val="0"/>
          <w:sz w:val="20"/>
        </w:rPr>
        <w:t>The service provides methods to capture customer feedback and identify dissatisfaction. Complaints and material escalations are categorized, assigned, investigated, communicated and closed with sufficient evidence. Recurring themes inform training, process, knowledge, technology and improvement priorities.</w:t>
      </w:r>
    </w:p>
    <w:p>
      <w:pPr>
        <w:pStyle w:val="Heading1"/>
        <w:keepNext/>
        <w:spacing w:before="120" w:after="60" w:line="252" w:lineRule="auto"/>
      </w:pPr>
      <w:r>
        <w:rPr>
          <w:rFonts w:ascii="Cambria" w:hAnsi="Cambria" w:eastAsia="Cambria"/>
          <w:b/>
          <w:color w:val="1F4E79"/>
          <w:sz w:val="24"/>
        </w:rPr>
        <w:t>13. Privacy, Confidentiality and Interaction Records</w:t>
      </w:r>
    </w:p>
    <w:tbl>
      <w:tblPr>
        <w:tblW w:type="auto" w:w="0"/>
        <w:jc w:val="center"/>
        <w:tblLayout w:type="autofit"/>
        <w:tblLook w:val="04A0"/>
      </w:tblPr>
      <w:tblGrid>
        <w:gridCol w:w="9355"/>
      </w:tblGrid>
      <w:tr>
        <w:trPr>
          <w:cantSplit/>
        </w:trP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Do not insert generic legal retention periods into this manual. Recording notice/consent, retention, access, disclosure and cross-border rules must be verified for the relevant jurisdiction, contract and sector.</w:t>
            </w:r>
          </w:p>
        </w:tc>
      </w:tr>
    </w:tbl>
    <w:p>
      <w:pPr>
        <w:spacing w:after="20"/>
      </w:pPr>
    </w:p>
    <w:p>
      <w:pPr>
        <w:spacing w:before="0" w:after="80" w:line="252" w:lineRule="auto"/>
      </w:pPr>
      <w:r>
        <w:rPr>
          <w:rFonts w:ascii="Cambria" w:hAnsi="Cambria" w:eastAsia="Cambria"/>
          <w:i w:val="0"/>
          <w:sz w:val="20"/>
        </w:rPr>
        <w:t>Access to recordings, transcripts, chats, customer data and employee performance records is restricted to approved business need. The organization defines secure handling, authorized monitoring, retention, deletion and disclosure processes according to verified requirements.</w:t>
      </w:r>
    </w:p>
    <w:p>
      <w:pPr>
        <w:pStyle w:val="Heading1"/>
        <w:keepNext/>
        <w:spacing w:before="120" w:after="60" w:line="252" w:lineRule="auto"/>
      </w:pPr>
      <w:r>
        <w:rPr>
          <w:rFonts w:ascii="Cambria" w:hAnsi="Cambria" w:eastAsia="Cambria"/>
          <w:b/>
          <w:color w:val="1F4E79"/>
          <w:sz w:val="24"/>
        </w:rPr>
        <w:t>14. Technology, Availability and Continuity</w:t>
      </w:r>
    </w:p>
    <w:p>
      <w:pPr>
        <w:spacing w:before="0" w:after="80" w:line="252" w:lineRule="auto"/>
      </w:pPr>
      <w:r>
        <w:rPr>
          <w:rFonts w:ascii="Cambria" w:hAnsi="Cambria" w:eastAsia="Cambria"/>
          <w:i w:val="0"/>
          <w:sz w:val="20"/>
        </w:rPr>
        <w:t>Technology supporting routing, CRM, knowledge, workforce, QA and digital channels is managed for availability and controlled change. Outage, degraded-service and alternate operating arrangements are defined for material dependencies, with responsibilities and communications aligned to service priorities.</w:t>
      </w:r>
    </w:p>
    <w:p>
      <w:pPr>
        <w:pStyle w:val="Heading1"/>
        <w:keepNext/>
        <w:spacing w:before="120" w:after="60" w:line="252" w:lineRule="auto"/>
      </w:pPr>
      <w:r>
        <w:rPr>
          <w:rFonts w:ascii="Cambria" w:hAnsi="Cambria" w:eastAsia="Cambria"/>
          <w:b/>
          <w:color w:val="1F4E79"/>
          <w:sz w:val="24"/>
        </w:rPr>
        <w:t>15. Suppliers and Outsourced Services</w:t>
      </w:r>
    </w:p>
    <w:p>
      <w:pPr>
        <w:spacing w:before="0" w:after="80" w:line="252" w:lineRule="auto"/>
      </w:pPr>
      <w:r>
        <w:rPr>
          <w:rFonts w:ascii="Cambria" w:hAnsi="Cambria" w:eastAsia="Cambria"/>
          <w:i w:val="0"/>
          <w:sz w:val="20"/>
        </w:rPr>
        <w:t>Relevant suppliers and outsourced service providers receive controlled requirements, measurable performance expectations and escalation arrangements. Performance and issues are reviewed at a frequency proportionate to customer impact and service criticality. Where the organization is the client, its responsibilities for requirements, governance and decisions remain explicit.</w:t>
      </w:r>
    </w:p>
    <w:p>
      <w:pPr>
        <w:pStyle w:val="Heading1"/>
        <w:keepNext/>
        <w:spacing w:before="120" w:after="60" w:line="252" w:lineRule="auto"/>
      </w:pPr>
      <w:r>
        <w:rPr>
          <w:rFonts w:ascii="Cambria" w:hAnsi="Cambria" w:eastAsia="Cambria"/>
          <w:b/>
          <w:color w:val="1F4E79"/>
          <w:sz w:val="24"/>
        </w:rPr>
        <w:t>16. Monitoring, Internal Audit and Management Review</w:t>
      </w:r>
    </w:p>
    <w:tbl>
      <w:tblPr>
        <w:tblW w:type="auto" w:w="0"/>
        <w:jc w:val="center"/>
        <w:tblLayout w:type="fixed"/>
        <w:tblLook w:val="04A0"/>
      </w:tblPr>
      <w:tblGrid>
        <w:gridCol w:w="4677"/>
        <w:gridCol w:w="4677"/>
      </w:tblGrid>
      <w:tr>
        <w:trPr>
          <w:tblHeader w:val="true"/>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Assurance Activity</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Purpose</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Operational performance review</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Identify daily/weekly service variation and emerging issues.</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Quality / calibration review</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Evaluate interaction quality and scoring consistency.</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Customer / complaint analysis</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Identify customer-impact themes and systemic failure.</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Internal service audit</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Provide objective assurance over selected controls and evidence.</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Management review</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Evaluate overall suitability, performance, risks, resources and priorities.</w:t>
            </w:r>
          </w:p>
        </w:tc>
      </w:tr>
    </w:tbl>
    <w:p>
      <w:pPr>
        <w:pStyle w:val="Heading1"/>
        <w:keepNext/>
        <w:spacing w:before="120" w:after="60" w:line="252" w:lineRule="auto"/>
      </w:pPr>
      <w:r>
        <w:rPr>
          <w:rFonts w:ascii="Cambria" w:hAnsi="Cambria" w:eastAsia="Cambria"/>
          <w:b/>
          <w:color w:val="1F4E79"/>
          <w:sz w:val="24"/>
        </w:rPr>
        <w:t>17. Nonconformity, Corrective Action and Improvement</w:t>
      </w:r>
    </w:p>
    <w:p>
      <w:pPr>
        <w:spacing w:before="0" w:after="80" w:line="252" w:lineRule="auto"/>
      </w:pPr>
      <w:r>
        <w:rPr>
          <w:rFonts w:ascii="Cambria" w:hAnsi="Cambria" w:eastAsia="Cambria"/>
          <w:i w:val="0"/>
          <w:sz w:val="20"/>
        </w:rPr>
        <w:t>Service failures, audit findings, complaint themes and recurring quality issues are evaluated for correction and, where systemic, underlying causes. Actions have owners and due dates, material actions are verified for effectiveness, and relevant controlled information is updated when the operating model changes.</w:t>
      </w:r>
    </w:p>
    <w:p>
      <w:pPr>
        <w:pStyle w:val="Heading1"/>
        <w:keepNext/>
        <w:spacing w:before="120" w:after="60" w:line="252" w:lineRule="auto"/>
      </w:pPr>
      <w:r>
        <w:rPr>
          <w:rFonts w:ascii="Cambria" w:hAnsi="Cambria" w:eastAsia="Cambria"/>
          <w:b/>
          <w:color w:val="1F4E79"/>
          <w:sz w:val="24"/>
        </w:rPr>
        <w:t>18. Document Structure</w:t>
      </w:r>
    </w:p>
    <w:tbl>
      <w:tblPr>
        <w:tblW w:type="auto" w:w="0"/>
        <w:jc w:val="center"/>
        <w:tblLayout w:type="fixed"/>
        <w:tblLook w:val="04A0"/>
      </w:tblPr>
      <w:tblGrid>
        <w:gridCol w:w="4677"/>
        <w:gridCol w:w="4677"/>
      </w:tblGrid>
      <w:tr>
        <w:trPr>
          <w:tblHeader w:val="true"/>
        </w:trPr>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Document Family</w:t>
            </w:r>
          </w:p>
        </w:tc>
        <w:tc>
          <w:tcPr>
            <w:tcW w:type="dxa" w:w="680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Examples</w:t>
            </w:r>
          </w:p>
        </w:tc>
      </w:tr>
      <w:tr>
        <w:trPr>
          <w:cantSplit/>
        </w:trPr>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Governance</w:t>
            </w:r>
          </w:p>
        </w:tc>
        <w:tc>
          <w:tcPr>
            <w:tcW w:type="dxa" w:w="680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Service Policy; Service Management Manual; objectives and indicators guidance.</w:t>
            </w:r>
          </w:p>
        </w:tc>
      </w:tr>
      <w:tr>
        <w:trPr>
          <w:cantSplit/>
        </w:trPr>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Procedures</w:t>
            </w:r>
          </w:p>
        </w:tc>
        <w:tc>
          <w:tcPr>
            <w:tcW w:type="dxa" w:w="680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Documented Information; Internal Service Audit; Service Management Review; complaint/escalation or other service procedures as needed.</w:t>
            </w:r>
          </w:p>
        </w:tc>
      </w:tr>
      <w:tr>
        <w:trPr>
          <w:cantSplit/>
        </w:trPr>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Guidance / Tools</w:t>
            </w:r>
          </w:p>
        </w:tc>
        <w:tc>
          <w:tcPr>
            <w:tcW w:type="dxa" w:w="680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Gap Analysis Guidance; Audit Guidance; Service Management System Guidance; checklists and dashboards.</w:t>
            </w:r>
          </w:p>
        </w:tc>
      </w:tr>
      <w:tr>
        <w:trPr>
          <w:cantSplit/>
        </w:trPr>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Records</w:t>
            </w:r>
          </w:p>
        </w:tc>
        <w:tc>
          <w:tcPr>
            <w:tcW w:type="dxa" w:w="680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Audit Report; Review Agenda &amp; Minutes; QA/calibration records; training/coaching records; complaint and action records.</w:t>
            </w:r>
          </w:p>
        </w:tc>
      </w:tr>
    </w:tbl>
    <w:p>
      <w:pPr>
        <w:pStyle w:val="Heading1"/>
        <w:keepNext/>
        <w:spacing w:before="120" w:after="60" w:line="252" w:lineRule="auto"/>
      </w:pPr>
      <w:r>
        <w:rPr>
          <w:rFonts w:ascii="Cambria" w:hAnsi="Cambria" w:eastAsia="Cambria"/>
          <w:b/>
          <w:color w:val="1F4E79"/>
          <w:sz w:val="24"/>
        </w:rPr>
        <w:t>19. Approval and Revision</w:t>
      </w:r>
    </w:p>
    <w:p>
      <w:pPr>
        <w:spacing w:before="0" w:after="80" w:line="252" w:lineRule="auto"/>
      </w:pPr>
      <w:r>
        <w:rPr>
          <w:rFonts w:ascii="Cambria" w:hAnsi="Cambria" w:eastAsia="Cambria"/>
          <w:i w:val="0"/>
          <w:sz w:val="20"/>
        </w:rPr>
        <w:t>The Service Management Lead reviews this manual at planned intervals and after material changes. Senior Management approves controlled issue and material changes. Revisions are recorded in the controlled repository and obsolete versions are managed according to the Documented Information Procedure.</w:t>
      </w:r>
    </w:p>
    <w:p>
      <w:pPr>
        <w:pStyle w:val="Heading1"/>
        <w:keepNext/>
        <w:spacing w:before="120" w:after="60" w:line="252" w:lineRule="auto"/>
      </w:pPr>
      <w:r>
        <w:rPr>
          <w:rFonts w:ascii="Cambria" w:hAnsi="Cambria" w:eastAsia="Cambria"/>
          <w:b/>
          <w:color w:val="1F4E79"/>
          <w:sz w:val="24"/>
        </w:rPr>
        <w:t>References and Related Sources</w:t>
      </w:r>
    </w:p>
    <w:tbl>
      <w:tblPr>
        <w:tblW w:type="auto" w:w="0"/>
        <w:jc w:val="center"/>
        <w:tblLayout w:type="fixed"/>
        <w:tblLook w:val="04A0"/>
      </w:tblPr>
      <w:tblGrid>
        <w:gridCol w:w="3118"/>
        <w:gridCol w:w="3118"/>
        <w:gridCol w:w="3118"/>
      </w:tblGrid>
      <w:tr>
        <w:trPr>
          <w:tblHeader w:val="true"/>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Reference</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Use in this document</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Source / Location</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 18295-1:2017</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Requirements for customer contact centres; applicable to in-house and outsourced contact centres across interaction channels.</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https://www.iso.org/standard/64739.html</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 18295-2:2017</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Requirements for organizations using customer contact centre services; relevant to client/service-provider arrangements.</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https://www.iso.org/standard/64740.html</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ISO/AWI 18295-1</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Revision project for Part 1; monitor for future replacement of the 2017 edition.</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https://www.iso.org/standard/94393.html</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ISO/AWI 18295-2</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Revision project for Part 2; monitor for future replacement of the 2017 edition.</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https://www.iso.org/standard/94394.html</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Organization service documentation</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Approved service scope, client requirements, scripts/knowledge, QA records, workforce records, complaints, KPI and review records.</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[INTERNAL SOURCE / REPOSITORY]</w:t>
            </w:r>
          </w:p>
        </w:tc>
      </w:tr>
    </w:tbl>
    <w:p>
      <w:pPr>
        <w:pStyle w:val="Heading1"/>
        <w:keepNext/>
        <w:spacing w:before="120" w:after="60" w:line="252" w:lineRule="auto"/>
      </w:pPr>
      <w:r>
        <w:rPr>
          <w:rFonts w:ascii="Cambria" w:hAnsi="Cambria" w:eastAsia="Cambria"/>
          <w:b/>
          <w:color w:val="1F4E79"/>
          <w:sz w:val="24"/>
        </w:rPr>
        <w:t>Revision and Approval</w:t>
      </w:r>
    </w:p>
    <w:tbl>
      <w:tblPr>
        <w:tblW w:type="auto" w:w="0"/>
        <w:jc w:val="center"/>
        <w:tblLayout w:type="fixed"/>
        <w:tblLook w:val="04A0"/>
      </w:tblPr>
      <w:tblGrid>
        <w:gridCol w:w="1871"/>
        <w:gridCol w:w="1871"/>
        <w:gridCol w:w="1871"/>
        <w:gridCol w:w="1871"/>
        <w:gridCol w:w="1871"/>
      </w:tblGrid>
      <w:tr>
        <w:trPr>
          <w:tblHeader w:val="true"/>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Version</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Date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Change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Document Owner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Approver</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1.0</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2026-09-18</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Initial issue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Service Management Lead</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Senior Management</w:t>
            </w:r>
          </w:p>
        </w:tc>
      </w:tr>
    </w:tbl>
    <w:sectPr w:rsidR="00FC693F" w:rsidRPr="0006063C" w:rsidSect="00034616">
      <w:headerReference w:type="default" r:id="rId9"/>
      <w:footerReference w:type="default" r:id="rId10"/>
      <w:pgSz w:w="11906" w:h="16838"/>
      <w:pgMar w:top="1134" w:right="1134" w:bottom="1134" w:left="141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20"/>
      <w:jc w:val="center"/>
    </w:pPr>
    <w:r/>
    <w:r>
      <w:rPr>
        <w:rFonts w:ascii="Cambria" w:hAnsi="Cambria" w:eastAsia="Cambria"/>
        <w:color w:val="666666"/>
        <w:sz w:val="16"/>
      </w:rPr>
      <w:t>Copyright © ISO Toolkits | www.iso-toolkits.org | info@iso-toolkits.org</w:t>
    </w:r>
  </w:p>
  <w:p>
    <w:pPr>
      <w:spacing w:after="0"/>
      <w:jc w:val="center"/>
    </w:pPr>
    <w:r>
      <w:rPr>
        <w:rFonts w:ascii="Cambria" w:hAnsi="Cambria" w:eastAsia="Cambria"/>
        <w:color w:val="666666"/>
        <w:sz w:val="16"/>
      </w:rPr>
      <w:t xml:space="preserve">CONTROLLED DOCUMENT | INTERNAL | Page </w:t>
    </w:r>
    <w:r>
      <w:rPr>
        <w:rFonts w:ascii="Cambria" w:hAnsi="Cambria" w:eastAsia="Cambria"/>
        <w:color w:val="666666"/>
        <w:sz w:val="16"/>
      </w:rPr>
      <w:fldChar w:fldCharType="begin"/>
      <w:instrText xml:space="preserve"> PAGE </w:instrText>
      <w:fldChar w:fldCharType="end"/>
    </w:r>
    <w:r>
      <w:rPr>
        <w:rFonts w:ascii="Cambria" w:hAnsi="Cambria" w:eastAsia="Cambria"/>
        <w:color w:val="666666"/>
        <w:sz w:val="16"/>
      </w:rPr>
      <w:t xml:space="preserve"> of </w:t>
    </w:r>
    <w:r>
      <w:rPr>
        <w:rFonts w:ascii="Cambria" w:hAnsi="Cambria" w:eastAsia="Cambria"/>
        <w:color w:val="666666"/>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814"/>
          <w:tcMar>
            <w:top w:w="20" w:type="dxa"/>
            <w:left w:w="40" w:type="dxa"/>
            <w:bottom w:w="20" w:type="dxa"/>
            <w:right w:w="40" w:type="dxa"/>
          </w:tcMar>
        </w:tcPr>
        <w:p>
          <w:pPr>
            <w:jc w:val="center"/>
          </w:pPr>
          <w:r>
            <w:rPr>
              <w:rFonts w:ascii="Cambria" w:hAnsi="Cambria" w:eastAsia="Cambria"/>
              <w:color w:val="666666"/>
              <w:sz w:val="16"/>
            </w:rPr>
            <w:t>ORGANIZATION</w:t>
            <w:br/>
            <w:t>LOGO</w:t>
          </w:r>
        </w:p>
      </w:tc>
      <w:tc>
        <w:tcPr>
          <w:tcW w:type="dxa" w:w="5216"/>
          <w:tcMar>
            <w:top w:w="20" w:type="dxa"/>
            <w:left w:w="40" w:type="dxa"/>
            <w:bottom w:w="20" w:type="dxa"/>
            <w:right w:w="40" w:type="dxa"/>
          </w:tcMar>
        </w:tcPr>
        <w:p>
          <w:pPr>
            <w:jc w:val="center"/>
          </w:pPr>
          <w:r>
            <w:rPr>
              <w:rFonts w:ascii="Cambria" w:hAnsi="Cambria" w:eastAsia="Cambria"/>
              <w:color w:val="666666"/>
              <w:sz w:val="16"/>
            </w:rPr>
            <w:t>[ORGANIZATION NAME]</w:t>
            <w:br/>
          </w:r>
          <w:r>
            <w:rPr>
              <w:rFonts w:ascii="Cambria" w:hAnsi="Cambria" w:eastAsia="Cambria"/>
              <w:b/>
              <w:color w:val="1F4E79"/>
              <w:sz w:val="18"/>
            </w:rPr>
            <w:t>Service Management Manual</w:t>
          </w:r>
        </w:p>
      </w:tc>
      <w:tc>
        <w:tcPr>
          <w:tcW w:type="dxa" w:w="2324"/>
          <w:tcMar>
            <w:top w:w="20" w:type="dxa"/>
            <w:left w:w="40" w:type="dxa"/>
            <w:bottom w:w="20" w:type="dxa"/>
            <w:right w:w="40" w:type="dxa"/>
          </w:tcMar>
        </w:tcPr>
        <w:p>
          <w:pPr>
            <w:jc w:val="right"/>
          </w:pPr>
          <w:r>
            <w:rPr>
              <w:rFonts w:ascii="Cambria" w:hAnsi="Cambria" w:eastAsia="Cambria"/>
              <w:b/>
              <w:color w:val="666666"/>
              <w:sz w:val="16"/>
            </w:rPr>
            <w:t>CCC-MAN-001</w:t>
            <w:br/>
          </w:r>
          <w:r>
            <w:rPr>
              <w:rFonts w:ascii="Cambria" w:hAnsi="Cambria" w:eastAsia="Cambria"/>
              <w:color w:val="666666"/>
              <w:sz w:val="16"/>
            </w:rPr>
            <w:t>Version 1.0</w:t>
            <w:br/>
          </w:r>
          <w:r>
            <w:rPr>
              <w:rFonts w:ascii="Cambria" w:hAnsi="Cambria" w:eastAsia="Cambria"/>
              <w:color w:val="666666"/>
              <w:sz w:val="16"/>
            </w:rPr>
            <w:t>Effective 2026-09-18</w:t>
          </w:r>
        </w:p>
      </w:tc>
    </w:tr>
  </w:tbl>
  <w:p>
    <w:pPr>
      <w:spacing w:after="0"/>
      <w:pBdr>
        <w:bottom w:val="single" w:sz="8" w:color="1F4E79"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