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440" w:after="200"/>
        <w:jc w:val="center"/>
      </w:pPr>
      <w:r>
        <w:rPr>
          <w:rFonts w:ascii="Cambria" w:hAnsi="Cambria" w:eastAsia="Cambria"/>
          <w:b/>
          <w:color w:val="1F4E79"/>
          <w:sz w:val="44"/>
        </w:rPr>
        <w:t>INTERNAL SERVICE AUDIT REPORT</w:t>
      </w:r>
    </w:p>
    <w:p>
      <w:pPr>
        <w:spacing w:after="320"/>
        <w:jc w:val="center"/>
      </w:pPr>
      <w:r>
        <w:rPr>
          <w:rFonts w:ascii="Cambria" w:hAnsi="Cambria" w:eastAsia="Cambria"/>
          <w:b/>
          <w:color w:val="000000"/>
          <w:sz w:val="24"/>
        </w:rPr>
        <w:t>ISO 18295-1:2017 / ISO 18295-2:2017</w:t>
      </w:r>
    </w:p>
    <w:p>
      <w:pPr>
        <w:spacing w:after="360"/>
        <w:jc w:val="center"/>
      </w:pPr>
      <w:r>
        <w:rPr>
          <w:rFonts w:ascii="Cambria" w:hAnsi="Cambria" w:eastAsia="Cambria"/>
          <w:i/>
          <w:color w:val="666666"/>
          <w:sz w:val="22"/>
        </w:rPr>
        <w:t>Customer Contact Centre Service Assurance Report</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Lead Service Auditor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Service Management / Internal Audit</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Illustrative findings in this template are examples only. Do not interpret them as actual customer complaints, privacy breaches, service failures or audit conclusions. Protect recordings, transcripts and personal information used as audit evidence.</w:t>
            </w:r>
          </w:p>
        </w:tc>
      </w:tr>
    </w:tbl>
    <w:p>
      <w:pPr>
        <w:spacing w:after="20"/>
      </w:pPr>
    </w:p>
    <w:p>
      <w:pPr>
        <w:pStyle w:val="Heading1"/>
        <w:keepNext/>
        <w:spacing w:before="120" w:after="60" w:line="252" w:lineRule="auto"/>
      </w:pPr>
      <w:r>
        <w:rPr>
          <w:rFonts w:ascii="Cambria" w:hAnsi="Cambria" w:eastAsia="Cambria"/>
          <w:b/>
          <w:color w:val="1F4E79"/>
          <w:sz w:val="24"/>
        </w:rPr>
        <w:t>1. Audit Identification</w:t>
      </w:r>
    </w:p>
    <w:tbl>
      <w:tblPr>
        <w:tblW w:type="auto" w:w="0"/>
        <w:jc w:val="center"/>
        <w:tblLayout w:type="fixed"/>
        <w:tblLook w:val="04A0"/>
      </w:tblPr>
      <w:tblGrid>
        <w:gridCol w:w="2339"/>
        <w:gridCol w:w="2339"/>
        <w:gridCol w:w="2339"/>
        <w:gridCol w:w="2339"/>
      </w:tblGrid>
      <w:tr>
        <w:trPr>
          <w:tblHeader w:val="true"/>
        </w:trPr>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Field</w:t>
            </w:r>
          </w:p>
        </w:tc>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Entry</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Field</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Entry</w:t>
            </w:r>
          </w:p>
        </w:tc>
      </w:tr>
      <w:tr>
        <w:trPr>
          <w:cantSplit/>
        </w:trPr>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Audit Reference</w:t>
            </w:r>
          </w:p>
        </w:tc>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[AUDIT ID]</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Audit Date(s)</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[YYYY-MM-DD]</w:t>
            </w:r>
          </w:p>
        </w:tc>
      </w:tr>
      <w:tr>
        <w:trPr>
          <w:cantSplit/>
        </w:trPr>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Contact Centre / Service</w:t>
            </w:r>
          </w:p>
        </w:tc>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[SERVICE NAME]</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Lead Auditor</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[ROLE / NAME]</w:t>
            </w:r>
          </w:p>
        </w:tc>
      </w:tr>
      <w:tr>
        <w:trPr>
          <w:cantSplit/>
        </w:trPr>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Scope</w:t>
            </w:r>
          </w:p>
        </w:tc>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[PROCESS / CHANNEL / SITE / PERIOD]</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Audit Type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[PLANNED / FOLLOW-UP / SPECIAL]</w:t>
            </w:r>
          </w:p>
        </w:tc>
      </w:tr>
      <w:tr>
        <w:trPr>
          <w:cantSplit/>
        </w:trPr>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Criteria</w:t>
            </w:r>
          </w:p>
        </w:tc>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ISO 18295-1:2017; ISO 18295-2:2017 where applicable; approved internal criteria</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Confidentiality</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INTERNAL / RESTRICTED AS APPLICABLE</w:t>
            </w:r>
          </w:p>
        </w:tc>
      </w:tr>
    </w:tbl>
    <w:p>
      <w:pPr>
        <w:pStyle w:val="Heading1"/>
        <w:keepNext/>
        <w:spacing w:before="120" w:after="60" w:line="252" w:lineRule="auto"/>
      </w:pPr>
      <w:r>
        <w:rPr>
          <w:rFonts w:ascii="Cambria" w:hAnsi="Cambria" w:eastAsia="Cambria"/>
          <w:b/>
          <w:color w:val="1F4E79"/>
          <w:sz w:val="24"/>
        </w:rPr>
        <w:t>2. Audit Objective and Scope</w:t>
      </w:r>
    </w:p>
    <w:p>
      <w:pPr>
        <w:spacing w:before="0" w:after="80" w:line="252" w:lineRule="auto"/>
      </w:pPr>
      <w:r>
        <w:rPr>
          <w:rFonts w:ascii="Cambria" w:hAnsi="Cambria" w:eastAsia="Cambria"/>
          <w:i w:val="0"/>
          <w:sz w:val="20"/>
        </w:rPr>
        <w:t>Objective: [STATE THE ASSURANCE QUESTION, FOR EXAMPLE WHETHER SELECTED CUSTOMER CONTACT CENTRE SERVICE CONTROLS ARE IMPLEMENTED AND EFFECTIVE FOR THE DEFINED SCOPE].</w:t>
      </w:r>
    </w:p>
    <w:p>
      <w:pPr>
        <w:spacing w:before="0" w:after="80" w:line="252" w:lineRule="auto"/>
      </w:pPr>
      <w:r>
        <w:rPr>
          <w:rFonts w:ascii="Cambria" w:hAnsi="Cambria" w:eastAsia="Cambria"/>
          <w:i w:val="0"/>
          <w:sz w:val="20"/>
        </w:rPr>
        <w:t>Scope and exclusions: [DEFINE SERVICE, CHANNELS, FUNCTIONS, SITES, PERIOD, SYSTEMS, SUPPLIERS / CLIENT INTERFACES AND ANY EXCLUSIONS].</w:t>
      </w:r>
    </w:p>
    <w:p>
      <w:pPr>
        <w:pStyle w:val="Heading1"/>
        <w:keepNext/>
        <w:spacing w:before="120" w:after="60" w:line="252" w:lineRule="auto"/>
      </w:pPr>
      <w:r>
        <w:rPr>
          <w:rFonts w:ascii="Cambria" w:hAnsi="Cambria" w:eastAsia="Cambria"/>
          <w:b/>
          <w:color w:val="1F4E79"/>
          <w:sz w:val="24"/>
        </w:rPr>
        <w:t>3. Audit Approach and Evidence</w:t>
      </w:r>
    </w:p>
    <w:tbl>
      <w:tblPr>
        <w:tblW w:type="auto" w:w="0"/>
        <w:jc w:val="center"/>
        <w:tblLayout w:type="fixed"/>
        <w:tblLook w:val="04A0"/>
      </w:tblPr>
      <w:tblGrid>
        <w:gridCol w:w="3118"/>
        <w:gridCol w:w="3118"/>
        <w:gridCol w:w="3118"/>
      </w:tblGrid>
      <w:tr>
        <w:trPr>
          <w:tblHeader w:val="true"/>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Evidence Source</w:t>
            </w:r>
          </w:p>
        </w:tc>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Sample / Coverage</w:t>
            </w:r>
          </w:p>
        </w:tc>
        <w:tc>
          <w:tcPr>
            <w:tcW w:type="dxa" w:w="317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Limitations / Notes</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Service documents / client requirements</w:t>
            </w:r>
          </w:p>
        </w:tc>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[SAMPLE]</w:t>
            </w:r>
          </w:p>
        </w:tc>
        <w:tc>
          <w:tcPr>
            <w:tcW w:type="dxa" w:w="317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[LIMITATIONS]</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Interaction records / recordings / transcripts</w:t>
            </w:r>
          </w:p>
        </w:tc>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[AUTHORIZED SAMPLE]</w:t>
            </w:r>
          </w:p>
        </w:tc>
        <w:tc>
          <w:tcPr>
            <w:tcW w:type="dxa" w:w="317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[PRIVACY / ACCESS LIMITATIONS]</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KPI and workforce data</w:t>
            </w:r>
          </w:p>
        </w:tc>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[PERIOD / REPORT]</w:t>
            </w:r>
          </w:p>
        </w:tc>
        <w:tc>
          <w:tcPr>
            <w:tcW w:type="dxa" w:w="317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[DATA QUALITY LIMITATIONS]</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Quality evaluations / calibration</w:t>
            </w:r>
          </w:p>
        </w:tc>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[SAMPLE]</w:t>
            </w:r>
          </w:p>
        </w:tc>
        <w:tc>
          <w:tcPr>
            <w:tcW w:type="dxa" w:w="317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[LIMITATIONS]</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Customer feedback / complaints</w:t>
            </w:r>
          </w:p>
        </w:tc>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[SAMPLE / TREND PERIOD]</w:t>
            </w:r>
          </w:p>
        </w:tc>
        <w:tc>
          <w:tcPr>
            <w:tcW w:type="dxa" w:w="317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[LIMITATIONS]</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Interviews / observation</w:t>
            </w:r>
          </w:p>
        </w:tc>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[ROLES / SHIFTS]</w:t>
            </w:r>
          </w:p>
        </w:tc>
        <w:tc>
          <w:tcPr>
            <w:tcW w:type="dxa" w:w="317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[LIMITATIONS]</w:t>
            </w:r>
          </w:p>
        </w:tc>
      </w:tr>
    </w:tbl>
    <w:p>
      <w:pPr>
        <w:pStyle w:val="Heading1"/>
        <w:keepNext/>
        <w:spacing w:before="120" w:after="60" w:line="252" w:lineRule="auto"/>
      </w:pPr>
      <w:r>
        <w:rPr>
          <w:rFonts w:ascii="Cambria" w:hAnsi="Cambria" w:eastAsia="Cambria"/>
          <w:b/>
          <w:color w:val="1F4E79"/>
          <w:sz w:val="24"/>
        </w:rPr>
        <w:t>4. Executive Summary</w:t>
      </w:r>
    </w:p>
    <w:tbl>
      <w:tblPr>
        <w:tblW w:type="auto" w:w="0"/>
        <w:jc w:val="center"/>
        <w:tblLayout w:type="fixed"/>
        <w:tblLook w:val="04A0"/>
      </w:tblPr>
      <w:tblGrid>
        <w:gridCol w:w="4677"/>
        <w:gridCol w:w="4677"/>
      </w:tblGrid>
      <w:tr>
        <w:trPr>
          <w:tblHeader w:val="true"/>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Summary Area</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Audit Conclusion</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Overall conclusion</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[CONFORMING / PARTIALLY EFFECTIVE / MATERIAL WEAKNESS / OTHER ORGANIZATION TAXONOMY]</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Strengths</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[KEY EFFECTIVE PRACTICES]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Systemic themes</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[RECURRING / CROSS-FUNCTIONAL THEMES]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Immediate escalation</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[NONE / DETAILS]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Follow-up required</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[YES / NO / SCOPE / TARGET DATE]</w:t>
            </w:r>
          </w:p>
        </w:tc>
      </w:tr>
    </w:tbl>
    <w:p>
      <w:pPr>
        <w:pStyle w:val="Heading1"/>
        <w:keepNext/>
        <w:spacing w:before="120" w:after="60" w:line="252" w:lineRule="auto"/>
      </w:pPr>
      <w:r>
        <w:rPr>
          <w:rFonts w:ascii="Cambria" w:hAnsi="Cambria" w:eastAsia="Cambria"/>
          <w:b/>
          <w:color w:val="1F4E79"/>
          <w:sz w:val="24"/>
        </w:rPr>
        <w:t>5. Illustrative Findings and Action Table</w:t>
      </w:r>
    </w:p>
    <w:tbl>
      <w:tblPr>
        <w:tblW w:type="auto" w:w="0"/>
        <w:jc w:val="center"/>
        <w:tblLayout w:type="fixed"/>
        <w:tblLook w:val="04A0"/>
      </w:tblPr>
      <w:tblGrid>
        <w:gridCol w:w="1039"/>
        <w:gridCol w:w="1039"/>
        <w:gridCol w:w="1039"/>
        <w:gridCol w:w="1039"/>
        <w:gridCol w:w="1039"/>
        <w:gridCol w:w="1039"/>
        <w:gridCol w:w="1039"/>
        <w:gridCol w:w="1039"/>
        <w:gridCol w:w="1039"/>
      </w:tblGrid>
      <w:tr>
        <w:trPr>
          <w:tblHeader w:val="true"/>
        </w:trPr>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3"/>
              </w:rPr>
              <w:t>Data Type</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3"/>
              </w:rPr>
              <w:t>Finding ID</w:t>
            </w:r>
          </w:p>
        </w:tc>
        <w:tc>
          <w:tcPr>
            <w:tcW w:type="dxa" w:w="15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3"/>
              </w:rPr>
              <w:t>Theme</w:t>
            </w:r>
          </w:p>
        </w:tc>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3"/>
              </w:rPr>
              <w:t>Result</w:t>
            </w:r>
          </w:p>
        </w:tc>
        <w:tc>
          <w:tcPr>
            <w:tcW w:type="dxa" w:w="8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3"/>
              </w:rPr>
              <w:t>Risk</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3"/>
              </w:rPr>
              <w:t>Finding / Objective Evidence</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3"/>
              </w:rPr>
              <w:t>Required Action</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3"/>
              </w:rPr>
              <w:t>Owner / Due Date</w:t>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3"/>
              </w:rPr>
              <w:t>Status</w:t>
            </w:r>
          </w:p>
        </w:tc>
      </w:tr>
      <w:tr>
        <w:trPr>
          <w:cantSplit/>
        </w:trPr>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Illustrative Data</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EX-SVC-AUD-001</w:t>
            </w:r>
          </w:p>
        </w:tc>
        <w:tc>
          <w:tcPr>
            <w:tcW w:type="dxa" w:w="15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Knowledge control</w:t>
            </w:r>
          </w:p>
        </w:tc>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Minor NC</w:t>
            </w:r>
          </w:p>
        </w:tc>
        <w:tc>
          <w:tcPr>
            <w:tcW w:type="dxa" w:w="8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Medium</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A sample of legacy knowledge articles had no assigned review owner or current review date.</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Assign ownership and complete risk-based article review.</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Knowledge Manager | 2026-10-31</w:t>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Open</w:t>
            </w:r>
          </w:p>
        </w:tc>
      </w:tr>
      <w:tr>
        <w:trPr>
          <w:cantSplit/>
        </w:trPr>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Illustrative Data</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EX-SVC-AUD-002</w:t>
            </w:r>
          </w:p>
        </w:tc>
        <w:tc>
          <w:tcPr>
            <w:tcW w:type="dxa" w:w="15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Quality calibration</w:t>
            </w:r>
          </w:p>
        </w:tc>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OFI</w:t>
            </w:r>
          </w:p>
        </w:tc>
        <w:tc>
          <w:tcPr>
            <w:tcW w:type="dxa" w:w="8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Low</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Monthly calibration is performed, but evaluator variance is not trended over time.</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Add variance trend and action threshold to calibration review.</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Quality Manager | 2026-11-15</w:t>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In Progress</w:t>
            </w:r>
          </w:p>
        </w:tc>
      </w:tr>
      <w:tr>
        <w:trPr>
          <w:cantSplit/>
        </w:trPr>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Illustrative Data</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EX-SVC-AUD-003</w:t>
            </w:r>
          </w:p>
        </w:tc>
        <w:tc>
          <w:tcPr>
            <w:tcW w:type="dxa" w:w="15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Metric definition</w:t>
            </w:r>
          </w:p>
        </w:tc>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Major NC</w:t>
            </w:r>
          </w:p>
        </w:tc>
        <w:tc>
          <w:tcPr>
            <w:tcW w:type="dxa" w:w="8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High</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The sampled abandoned-contact KPI report uses exclusions that are not documented in the approved metric definition.</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Approve metric logic and reconcile reporting outputs.</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Reporting Lead | 2026-09-30</w:t>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Open</w:t>
            </w:r>
          </w:p>
        </w:tc>
      </w:tr>
      <w:tr>
        <w:trPr>
          <w:cantSplit/>
        </w:trPr>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Illustrative Data</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EX-SVC-AUD-004</w:t>
            </w:r>
          </w:p>
        </w:tc>
        <w:tc>
          <w:tcPr>
            <w:tcW w:type="dxa" w:w="15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Complaint escalation</w:t>
            </w:r>
          </w:p>
        </w:tc>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Conforming</w:t>
            </w:r>
          </w:p>
        </w:tc>
        <w:tc>
          <w:tcPr>
            <w:tcW w:type="dxa" w:w="8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Medium</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Sampled priority complaints were escalated within the approved route and had closure evidence.</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Maintain current control and periodic sampling.</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Service Operations Manager | [N/A]</w:t>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No Action</w:t>
            </w:r>
          </w:p>
        </w:tc>
      </w:tr>
      <w:tr>
        <w:trPr>
          <w:cantSplit/>
        </w:trPr>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Illustrative Data</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EX-SVC-AUD-005</w:t>
            </w:r>
          </w:p>
        </w:tc>
        <w:tc>
          <w:tcPr>
            <w:tcW w:type="dxa" w:w="15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Recording access</w:t>
            </w:r>
          </w:p>
        </w:tc>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OFI</w:t>
            </w:r>
          </w:p>
        </w:tc>
        <w:tc>
          <w:tcPr>
            <w:tcW w:type="dxa" w:w="8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Medium</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Recording access is role-controlled; quarterly access review evidence could be more consistently retained.</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Standardize access-review evidence retention.</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Information Security Lead | 2026-12-01</w:t>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Open</w:t>
            </w:r>
          </w:p>
        </w:tc>
      </w:tr>
      <w:tr>
        <w:trPr>
          <w:cantSplit/>
        </w:trPr>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Actual Data</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5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8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r>
      <w:tr>
        <w:trPr>
          <w:cantSplit/>
        </w:trPr>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Actual Data</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5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8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r>
      <w:tr>
        <w:trPr>
          <w:cantSplit/>
        </w:trPr>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Actual Data</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5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8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r>
      <w:tr>
        <w:trPr>
          <w:cantSplit/>
        </w:trPr>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Actual Data</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5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8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r>
    </w:tbl>
    <w:p>
      <w:pPr>
        <w:pStyle w:val="Heading1"/>
        <w:keepNext/>
        <w:spacing w:before="120" w:after="60" w:line="252" w:lineRule="auto"/>
      </w:pPr>
      <w:r>
        <w:rPr>
          <w:rFonts w:ascii="Cambria" w:hAnsi="Cambria" w:eastAsia="Cambria"/>
          <w:b/>
          <w:color w:val="1F4E79"/>
          <w:sz w:val="24"/>
        </w:rPr>
        <w:t>6. Positive Practices</w:t>
      </w:r>
    </w:p>
    <w:p>
      <w:pPr>
        <w:pStyle w:val="ListBullet"/>
        <w:spacing w:before="0" w:after="50" w:line="252" w:lineRule="auto"/>
      </w:pPr>
      <w:r>
        <w:rPr>
          <w:rFonts w:ascii="Cambria" w:hAnsi="Cambria" w:eastAsia="Cambria"/>
          <w:sz w:val="20"/>
        </w:rPr>
        <w:t>[PRACTICE 1]</w:t>
      </w:r>
    </w:p>
    <w:p>
      <w:pPr>
        <w:pStyle w:val="ListBullet"/>
        <w:spacing w:before="0" w:after="50" w:line="252" w:lineRule="auto"/>
      </w:pPr>
      <w:r>
        <w:rPr>
          <w:rFonts w:ascii="Cambria" w:hAnsi="Cambria" w:eastAsia="Cambria"/>
          <w:sz w:val="20"/>
        </w:rPr>
        <w:t>[PRACTICE 2]</w:t>
      </w:r>
    </w:p>
    <w:p>
      <w:pPr>
        <w:pStyle w:val="ListBullet"/>
        <w:spacing w:before="0" w:after="50" w:line="252" w:lineRule="auto"/>
      </w:pPr>
      <w:r>
        <w:rPr>
          <w:rFonts w:ascii="Cambria" w:hAnsi="Cambria" w:eastAsia="Cambria"/>
          <w:sz w:val="20"/>
        </w:rPr>
        <w:t>[PRACTICE 3]</w:t>
      </w:r>
    </w:p>
    <w:p>
      <w:pPr>
        <w:pStyle w:val="Heading1"/>
        <w:keepNext/>
        <w:spacing w:before="120" w:after="60" w:line="252" w:lineRule="auto"/>
      </w:pPr>
      <w:r>
        <w:rPr>
          <w:rFonts w:ascii="Cambria" w:hAnsi="Cambria" w:eastAsia="Cambria"/>
          <w:b/>
          <w:color w:val="1F4E79"/>
          <w:sz w:val="24"/>
        </w:rPr>
        <w:t>7. Management Response</w:t>
      </w:r>
    </w:p>
    <w:p>
      <w:pPr>
        <w:spacing w:before="0" w:after="80" w:line="252" w:lineRule="auto"/>
      </w:pPr>
      <w:r>
        <w:rPr>
          <w:rFonts w:ascii="Cambria" w:hAnsi="Cambria" w:eastAsia="Cambria"/>
          <w:i w:val="0"/>
          <w:sz w:val="20"/>
        </w:rPr>
        <w:t>Management response: [ACCEPT / CHALLENGE WITH EVIDENCE / ACTION PLAN / OWNER / DUE DATE]. Factual disagreements should be resolved with objective evidence without compromising auditor independence.</w:t>
      </w:r>
    </w:p>
    <w:p>
      <w:pPr>
        <w:pStyle w:val="Heading1"/>
        <w:keepNext/>
        <w:spacing w:before="120" w:after="60" w:line="252" w:lineRule="auto"/>
      </w:pPr>
      <w:r>
        <w:rPr>
          <w:rFonts w:ascii="Cambria" w:hAnsi="Cambria" w:eastAsia="Cambria"/>
          <w:b/>
          <w:color w:val="1F4E79"/>
          <w:sz w:val="24"/>
        </w:rPr>
        <w:t>8. Overall Audit Conclusion</w:t>
      </w:r>
    </w:p>
    <w:p>
      <w:pPr>
        <w:spacing w:before="0" w:after="80" w:line="252" w:lineRule="auto"/>
      </w:pPr>
      <w:r>
        <w:rPr>
          <w:rFonts w:ascii="Cambria" w:hAnsi="Cambria" w:eastAsia="Cambria"/>
          <w:i w:val="0"/>
          <w:sz w:val="20"/>
        </w:rPr>
        <w:t>[STATE THE CONCLUSION FOR THE SCOPE SAMPLED, INCLUDING MATERIAL LIMITATIONS, WHETHER SERVICE CONTROLS ARE OPERATING AS INTENDED, AND ANY REQUIRED FOLLOW-UP].</w:t>
      </w:r>
    </w:p>
    <w:p>
      <w:pPr>
        <w:pStyle w:val="Heading1"/>
        <w:keepNext/>
        <w:spacing w:before="120" w:after="60" w:line="252" w:lineRule="auto"/>
      </w:pPr>
      <w:r>
        <w:rPr>
          <w:rFonts w:ascii="Cambria" w:hAnsi="Cambria" w:eastAsia="Cambria"/>
          <w:b/>
          <w:color w:val="1F4E79"/>
          <w:sz w:val="24"/>
        </w:rPr>
        <w:t>9. Distribution and Record Control</w:t>
      </w:r>
    </w:p>
    <w:tbl>
      <w:tblPr>
        <w:tblW w:type="auto" w:w="0"/>
        <w:jc w:val="center"/>
        <w:tblLayout w:type="fixed"/>
        <w:tblLook w:val="04A0"/>
      </w:tblPr>
      <w:tblGrid>
        <w:gridCol w:w="4677"/>
        <w:gridCol w:w="4677"/>
      </w:tblGrid>
      <w:tr>
        <w:trPr>
          <w:tblHeader w:val="true"/>
        </w:trPr>
        <w:tc>
          <w:tcPr>
            <w:tcW w:type="dxa" w:w="368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Recipient / Role</w:t>
            </w:r>
          </w:p>
        </w:tc>
        <w:tc>
          <w:tcPr>
            <w:tcW w:type="dxa" w:w="56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Distribution / Access</w:t>
            </w:r>
          </w:p>
        </w:tc>
      </w:tr>
      <w:tr>
        <w:trPr>
          <w:cantSplit/>
        </w:trPr>
        <w:tc>
          <w:tcPr>
            <w:tcW w:type="dxa" w:w="368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Senior Management</w:t>
            </w:r>
          </w:p>
        </w:tc>
        <w:tc>
          <w:tcPr>
            <w:tcW w:type="dxa" w:w="56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[AS APPROPRIATE]</w:t>
            </w:r>
          </w:p>
        </w:tc>
      </w:tr>
      <w:tr>
        <w:trPr>
          <w:cantSplit/>
        </w:trPr>
        <w:tc>
          <w:tcPr>
            <w:tcW w:type="dxa" w:w="368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Service Management</w:t>
            </w:r>
          </w:p>
        </w:tc>
        <w:tc>
          <w:tcPr>
            <w:tcW w:type="dxa" w:w="56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[AS APPROPRIATE]</w:t>
            </w:r>
          </w:p>
        </w:tc>
      </w:tr>
      <w:tr>
        <w:trPr>
          <w:cantSplit/>
        </w:trPr>
        <w:tc>
          <w:tcPr>
            <w:tcW w:type="dxa" w:w="368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Audited Function / Process Owner</w:t>
            </w:r>
          </w:p>
        </w:tc>
        <w:tc>
          <w:tcPr>
            <w:tcW w:type="dxa" w:w="56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[AS APPROPRIATE]</w:t>
            </w:r>
          </w:p>
        </w:tc>
      </w:tr>
      <w:tr>
        <w:trPr>
          <w:cantSplit/>
        </w:trPr>
        <w:tc>
          <w:tcPr>
            <w:tcW w:type="dxa" w:w="368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Internal Audit / Controlled Repository</w:t>
            </w:r>
          </w:p>
        </w:tc>
        <w:tc>
          <w:tcPr>
            <w:tcW w:type="dxa" w:w="56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Controlled master record</w:t>
            </w:r>
          </w:p>
        </w:tc>
      </w:tr>
    </w:tbl>
    <w:p>
      <w:pPr>
        <w:pStyle w:val="Heading1"/>
        <w:keepNext/>
        <w:spacing w:before="120" w:after="60" w:line="252" w:lineRule="auto"/>
      </w:pPr>
      <w:r>
        <w:rPr>
          <w:rFonts w:ascii="Cambria" w:hAnsi="Cambria" w:eastAsia="Cambria"/>
          <w:b/>
          <w:color w:val="1F4E79"/>
          <w:sz w:val="24"/>
        </w:rPr>
        <w:t>References and Related Sources</w:t>
      </w:r>
    </w:p>
    <w:tbl>
      <w:tblPr>
        <w:tblW w:type="auto" w:w="0"/>
        <w:jc w:val="center"/>
        <w:tblLayout w:type="fixed"/>
        <w:tblLook w:val="04A0"/>
      </w:tblPr>
      <w:tblGrid>
        <w:gridCol w:w="3118"/>
        <w:gridCol w:w="3118"/>
        <w:gridCol w:w="3118"/>
      </w:tblGrid>
      <w:tr>
        <w:trPr>
          <w:tblHeader w:val="true"/>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Reference</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Use in this document</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Source / Location</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 18295-1:2017</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Requirements for customer contact centres; applicable to in-house and outsourced contact centres across interaction channels.</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https://www.iso.org/standard/64739.html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 18295-2:2017</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Requirements for organizations using customer contact centre services; relevant to client/service-provider arrangements.</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https://www.iso.org/standard/64740.html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ISO/AWI 18295-1</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Revision project for Part 1; monitor for future replacement of the 2017 edition.</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https://www.iso.org/standard/94393.html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ISO/AWI 18295-2</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Revision project for Part 2; monitor for future replacement of the 2017 edition.</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https://www.iso.org/standard/94394.html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Organization service documentation</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Approved service scope, client requirements, scripts/knowledge, QA records, workforce records, complaints, KPI and review records.</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[INTERNAL SOURCE / REPOSITORY]</w:t>
            </w:r>
          </w:p>
        </w:tc>
      </w:tr>
    </w:tbl>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1871"/>
        <w:gridCol w:w="1871"/>
        <w:gridCol w:w="1871"/>
        <w:gridCol w:w="1871"/>
        <w:gridCol w:w="1871"/>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Lead Service Auditor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Service Management / Internal Audit</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Internal Service Audit Report</w:t>
          </w:r>
        </w:p>
      </w:tc>
      <w:tc>
        <w:tcPr>
          <w:tcW w:type="dxa" w:w="2324"/>
          <w:tcMar>
            <w:top w:w="20" w:type="dxa"/>
            <w:left w:w="40" w:type="dxa"/>
            <w:bottom w:w="20" w:type="dxa"/>
            <w:right w:w="40" w:type="dxa"/>
          </w:tcMar>
        </w:tcPr>
        <w:p>
          <w:pPr>
            <w:jc w:val="right"/>
          </w:pPr>
          <w:r>
            <w:rPr>
              <w:rFonts w:ascii="Cambria" w:hAnsi="Cambria" w:eastAsia="Cambria"/>
              <w:b/>
              <w:color w:val="666666"/>
              <w:sz w:val="16"/>
            </w:rPr>
            <w:t>CCC-AUD-001</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dcterms:created xsi:type="dcterms:W3CDTF">2013-12-23T23:15:00Z</dcterms:created>
  <dcterms:modified xsi:type="dcterms:W3CDTF">2013-12-23T23:15:00Z</dcterms:modified>
  <cp:category/>
</cp:coreProperties>
</file>