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60" w:after="80"/>
        <w:pBdr>
          <w:bottom w:val="single" w:sz="8" w:color="1F4E79" w:space="4"/>
        </w:pBdr>
      </w:pPr>
      <w:r>
        <w:rPr>
          <w:rFonts w:ascii="Cambria" w:hAnsi="Cambria" w:eastAsia="Cambria"/>
          <w:b/>
          <w:color w:val="1F4E79"/>
          <w:sz w:val="40"/>
        </w:rPr>
        <w:t>INTERNAL SERVICE AUDIT PROCEDURE</w:t>
      </w:r>
    </w:p>
    <w:p>
      <w:pPr>
        <w:spacing w:after="120"/>
      </w:pPr>
      <w:r>
        <w:rPr>
          <w:rFonts w:ascii="Cambria" w:hAnsi="Cambria" w:eastAsia="Cambria"/>
          <w:b/>
          <w:sz w:val="23"/>
        </w:rPr>
        <w:t>ISO 18295-1:2017 / ISO 18295-2:2017</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Internal Audit / Service Quality Lead</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Service Management / Senior Management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Define a consistent method for planning, conducting, reporting and following up internal audits of customer contact centre service controls so management receives objective evidence on implementation, conformity and effectiveness.</w:t>
      </w:r>
    </w:p>
    <w:p>
      <w:pPr>
        <w:pStyle w:val="Heading1"/>
        <w:keepNext/>
        <w:spacing w:before="120" w:after="60" w:line="252" w:lineRule="auto"/>
      </w:pPr>
      <w:r>
        <w:rPr>
          <w:rFonts w:ascii="Cambria" w:hAnsi="Cambria" w:eastAsia="Cambria"/>
          <w:b/>
          <w:color w:val="1F4E79"/>
          <w:sz w:val="24"/>
        </w:rPr>
        <w:t>2. Scope</w:t>
      </w:r>
    </w:p>
    <w:p>
      <w:pPr>
        <w:spacing w:before="0" w:after="80" w:line="252" w:lineRule="auto"/>
      </w:pPr>
      <w:r>
        <w:rPr>
          <w:rFonts w:ascii="Cambria" w:hAnsi="Cambria" w:eastAsia="Cambria"/>
          <w:i w:val="0"/>
          <w:sz w:val="20"/>
        </w:rPr>
        <w:t>Applies to planned and special internal service audits covering the defined customer contact centre scope, including in-house, outsourced or hybrid services, voice and non-voice channels, and relevant client/service-provider interfaces.</w:t>
      </w:r>
    </w:p>
    <w:tbl>
      <w:tblPr>
        <w:tblW w:type="auto" w:w="0"/>
        <w:jc w:val="center"/>
        <w:tblLayout w:type="autofit"/>
        <w:tblLook w:val="04A0"/>
      </w:tblPr>
      <w:tblGrid>
        <w:gridCol w:w="9355"/>
      </w:tblGrid>
      <w:tr>
        <w:trPr>
          <w:cantSplit/>
        </w:trP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Audit access to recordings, transcripts, chats, customer records and employee performance information must follow approved privacy, confidentiality, retention and access controls. Use only the minimum evidence necessary to support the audit conclusion.</w:t>
            </w:r>
          </w:p>
        </w:tc>
      </w:tr>
    </w:tbl>
    <w:p>
      <w:pPr>
        <w:spacing w:after="20"/>
      </w:pPr>
    </w:p>
    <w:p>
      <w:pPr>
        <w:pStyle w:val="Heading1"/>
        <w:keepNext/>
        <w:spacing w:before="120" w:after="60" w:line="252" w:lineRule="auto"/>
      </w:pPr>
      <w:r>
        <w:rPr>
          <w:rFonts w:ascii="Cambria" w:hAnsi="Cambria" w:eastAsia="Cambria"/>
          <w:b/>
          <w:color w:val="1F4E79"/>
          <w:sz w:val="24"/>
        </w:rPr>
        <w:t>3. Responsibilities</w:t>
      </w:r>
    </w:p>
    <w:tbl>
      <w:tblPr>
        <w:tblW w:type="auto" w:w="0"/>
        <w:jc w:val="center"/>
        <w:tblLayout w:type="fixed"/>
        <w:tblLook w:val="04A0"/>
      </w:tblPr>
      <w:tblGrid>
        <w:gridCol w:w="4677"/>
        <w:gridCol w:w="4677"/>
      </w:tblGrid>
      <w:tr>
        <w:trPr>
          <w:tblHeader w:val="true"/>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Role</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Responsibility</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Senior Management / Audit Sponsor</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Approve the audit programme or significant special audits and ensure material findings receive appropriate attention.</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 Programme Owner</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Maintain the audit programme, select audits based on risk and performance, appoint competent auditors and track completion.</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Lead Auditor</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Plan scope/criteria, manage evidence and sampling, communicate issues, lead closing meeting and issue the report.</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Auditor</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Collect and evaluate objective evidence, maintain confidentiality and document clear working papers.</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Audited Area / Process Owner</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Provide evidence and access, validate factual accuracy, define corrective actions and retain closure evidence.</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Action Verifier</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Verify implementation and, where required, effectiveness before material findings are closed.</w:t>
            </w:r>
          </w:p>
        </w:tc>
      </w:tr>
    </w:tbl>
    <w:p>
      <w:pPr>
        <w:pStyle w:val="Heading1"/>
        <w:keepNext/>
        <w:spacing w:before="120" w:after="60" w:line="252" w:lineRule="auto"/>
      </w:pPr>
      <w:r>
        <w:rPr>
          <w:rFonts w:ascii="Cambria" w:hAnsi="Cambria" w:eastAsia="Cambria"/>
          <w:b/>
          <w:color w:val="1F4E79"/>
          <w:sz w:val="24"/>
        </w:rPr>
        <w:t>4. Procedure</w:t>
      </w:r>
    </w:p>
    <w:tbl>
      <w:tblPr>
        <w:tblW w:type="auto" w:w="0"/>
        <w:jc w:val="center"/>
        <w:tblLayout w:type="fixed"/>
        <w:tblLook w:val="04A0"/>
      </w:tblPr>
      <w:tblGrid>
        <w:gridCol w:w="2339"/>
        <w:gridCol w:w="2339"/>
        <w:gridCol w:w="2339"/>
        <w:gridCol w:w="2339"/>
      </w:tblGrid>
      <w:tr>
        <w:trPr>
          <w:tblHeader w:val="true"/>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Step</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Responsible</w:t>
            </w:r>
          </w:p>
        </w:tc>
        <w:tc>
          <w:tcPr>
            <w:tcW w:type="dxa" w:w="47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Activity</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Output / Record</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Audit Programme Owner</w:t>
            </w:r>
          </w:p>
        </w:tc>
        <w:tc>
          <w:tcPr>
            <w:tcW w:type="dxa" w:w="47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Establish or update the risk-based audit programme using service criticality, customer impact, previous audit results, complaint/quality trends, changes, outsourcing and management concerns.</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Approved audit programme</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2</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Lead Auditor</w:t>
            </w:r>
          </w:p>
        </w:tc>
        <w:tc>
          <w:tcPr>
            <w:tcW w:type="dxa" w:w="47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Define audit objective, scope, criteria, period, channels, sites/teams, client/supplier interfaces and exclusions.</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Audit brief / plan</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3</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Lead Auditor</w:t>
            </w:r>
          </w:p>
        </w:tc>
        <w:tc>
          <w:tcPr>
            <w:tcW w:type="dxa" w:w="47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Select competent auditors and confirm independence/objectivity for the work assigned.</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Audit team assignment</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4</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Lead Auditor / Auditor</w:t>
            </w:r>
          </w:p>
        </w:tc>
        <w:tc>
          <w:tcPr>
            <w:tcW w:type="dxa" w:w="47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Review relevant procedures, service requirements, KPI definitions, prior findings, complaints, QA trends, training and other background evidence.</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Prepared evidence plan</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5</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Lead Auditor</w:t>
            </w:r>
          </w:p>
        </w:tc>
        <w:tc>
          <w:tcPr>
            <w:tcW w:type="dxa" w:w="47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Develop a risk-based sampling approach covering relevant channels, interaction types, teams/shifts, high-risk outcomes and known issues.</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Sampling plan</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6</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Auditor</w:t>
            </w:r>
          </w:p>
        </w:tc>
        <w:tc>
          <w:tcPr>
            <w:tcW w:type="dxa" w:w="47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Conduct opening discussion, confirm practical arrangements and explain evidence needs and confidentiality expectations.</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Confirmed audit arrangements</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7</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Auditor</w:t>
            </w:r>
          </w:p>
        </w:tc>
        <w:tc>
          <w:tcPr>
            <w:tcW w:type="dxa" w:w="47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Collect evidence through interviews, observation, records, interaction samples, data re-performance and process tracing.</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Audit working papers</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8</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Auditor</w:t>
            </w:r>
          </w:p>
        </w:tc>
        <w:tc>
          <w:tcPr>
            <w:tcW w:type="dxa" w:w="47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Evaluate evidence against the approved criteria and corroborate important conclusions using more than one evidence source where useful.</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Provisional results</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9</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Lead Auditor</w:t>
            </w:r>
          </w:p>
        </w:tc>
        <w:tc>
          <w:tcPr>
            <w:tcW w:type="dxa" w:w="47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Escalate any material customer, privacy/confidentiality, safety, fraud or major service-continuity concern immediately through approved routes.</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Escalation record / management awareness</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10</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Lead Auditor / Auditor</w:t>
            </w:r>
          </w:p>
        </w:tc>
        <w:tc>
          <w:tcPr>
            <w:tcW w:type="dxa" w:w="47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Draft findings using criterion, objective evidence, demonstrated gap, classification and relevant service/customer risk.</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Draft findings</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11</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Lead Auditor</w:t>
            </w:r>
          </w:p>
        </w:tc>
        <w:tc>
          <w:tcPr>
            <w:tcW w:type="dxa" w:w="47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Hold a closing meeting to confirm factual understanding, unresolved evidence requests, positive practices and next steps.</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Closing meeting record</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12</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Lead Auditor</w:t>
            </w:r>
          </w:p>
        </w:tc>
        <w:tc>
          <w:tcPr>
            <w:tcW w:type="dxa" w:w="47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Issue the controlled audit report to approved recipients within the agreed timeframe.</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Internal Service Audit Report</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13</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Process Owner</w:t>
            </w:r>
          </w:p>
        </w:tc>
        <w:tc>
          <w:tcPr>
            <w:tcW w:type="dxa" w:w="47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Define corrective actions with owner, due date and completion evidence proportionate to the finding.</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Corrective action plan</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14</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Action Verifier / Audit Programme Owner</w:t>
            </w:r>
          </w:p>
        </w:tc>
        <w:tc>
          <w:tcPr>
            <w:tcW w:type="dxa" w:w="47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Verify implementation and effectiveness where required; close, reopen or escalate findings based on evidence.</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Closure / follow-up record</w:t>
            </w:r>
          </w:p>
        </w:tc>
      </w:tr>
    </w:tbl>
    <w:p>
      <w:pPr>
        <w:pStyle w:val="Heading1"/>
        <w:keepNext/>
        <w:spacing w:before="120" w:after="60" w:line="252" w:lineRule="auto"/>
      </w:pPr>
      <w:r>
        <w:rPr>
          <w:rFonts w:ascii="Cambria" w:hAnsi="Cambria" w:eastAsia="Cambria"/>
          <w:b/>
          <w:color w:val="1F4E79"/>
          <w:sz w:val="24"/>
        </w:rPr>
        <w:t>5. Audit Criteria</w:t>
      </w:r>
    </w:p>
    <w:p>
      <w:pPr>
        <w:pStyle w:val="ListBullet"/>
        <w:spacing w:before="0" w:after="50" w:line="252" w:lineRule="auto"/>
      </w:pPr>
      <w:r>
        <w:rPr>
          <w:rFonts w:ascii="Cambria" w:hAnsi="Cambria" w:eastAsia="Cambria"/>
          <w:sz w:val="20"/>
        </w:rPr>
        <w:t>ISO 18295-1:2017 and ISO 18295-2:2017 where applicable to the audited scope.</w:t>
      </w:r>
    </w:p>
    <w:p>
      <w:pPr>
        <w:pStyle w:val="ListBullet"/>
        <w:spacing w:before="0" w:after="50" w:line="252" w:lineRule="auto"/>
      </w:pPr>
      <w:r>
        <w:rPr>
          <w:rFonts w:ascii="Cambria" w:hAnsi="Cambria" w:eastAsia="Cambria"/>
          <w:sz w:val="20"/>
        </w:rPr>
        <w:t>Approved service policy, procedures, scripts, knowledge, KPI definitions and internal standards.</w:t>
      </w:r>
    </w:p>
    <w:p>
      <w:pPr>
        <w:pStyle w:val="ListBullet"/>
        <w:spacing w:before="0" w:after="50" w:line="252" w:lineRule="auto"/>
      </w:pPr>
      <w:r>
        <w:rPr>
          <w:rFonts w:ascii="Cambria" w:hAnsi="Cambria" w:eastAsia="Cambria"/>
          <w:sz w:val="20"/>
        </w:rPr>
        <w:t>Customer/client requirements, contracts, SLA and agreed service commitments.</w:t>
      </w:r>
    </w:p>
    <w:p>
      <w:pPr>
        <w:pStyle w:val="ListBullet"/>
        <w:spacing w:before="0" w:after="50" w:line="252" w:lineRule="auto"/>
      </w:pPr>
      <w:r>
        <w:rPr>
          <w:rFonts w:ascii="Cambria" w:hAnsi="Cambria" w:eastAsia="Cambria"/>
          <w:sz w:val="20"/>
        </w:rPr>
        <w:t>Verified legal, regulatory, privacy, recording, accessibility or sector requirements where included in audit scope.</w:t>
      </w:r>
    </w:p>
    <w:p>
      <w:pPr>
        <w:pStyle w:val="Heading1"/>
        <w:keepNext/>
        <w:spacing w:before="120" w:after="60" w:line="252" w:lineRule="auto"/>
      </w:pPr>
      <w:r>
        <w:rPr>
          <w:rFonts w:ascii="Cambria" w:hAnsi="Cambria" w:eastAsia="Cambria"/>
          <w:b/>
          <w:color w:val="1F4E79"/>
          <w:sz w:val="24"/>
        </w:rPr>
        <w:t>6. Sampling Guidance</w:t>
      </w:r>
    </w:p>
    <w:p>
      <w:pPr>
        <w:spacing w:before="0" w:after="80" w:line="252" w:lineRule="auto"/>
      </w:pPr>
      <w:r>
        <w:rPr>
          <w:rFonts w:ascii="Cambria" w:hAnsi="Cambria" w:eastAsia="Cambria"/>
          <w:i w:val="0"/>
          <w:sz w:val="20"/>
        </w:rPr>
        <w:t>Sampling should be sufficient to support the audit objective and should consider channel, contact reason, service risk, team/shift, complaint themes, repeat contacts, quality results, recent change and unusual performance. Sample design and limitations should be documented so conclusions are not presented as broader than the evidence supports.</w:t>
      </w:r>
    </w:p>
    <w:p>
      <w:pPr>
        <w:pStyle w:val="Heading1"/>
        <w:keepNext/>
        <w:spacing w:before="120" w:after="60" w:line="252" w:lineRule="auto"/>
      </w:pPr>
      <w:r>
        <w:rPr>
          <w:rFonts w:ascii="Cambria" w:hAnsi="Cambria" w:eastAsia="Cambria"/>
          <w:b/>
          <w:color w:val="1F4E79"/>
          <w:sz w:val="24"/>
        </w:rPr>
        <w:t>7. Finding Categories</w:t>
      </w:r>
    </w:p>
    <w:tbl>
      <w:tblPr>
        <w:tblW w:type="auto" w:w="0"/>
        <w:jc w:val="center"/>
        <w:tblLayout w:type="fixed"/>
        <w:tblLook w:val="04A0"/>
      </w:tblPr>
      <w:tblGrid>
        <w:gridCol w:w="4677"/>
        <w:gridCol w:w="4677"/>
      </w:tblGrid>
      <w:tr>
        <w:trPr>
          <w:tblHeader w:val="true"/>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Category</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Use</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Conforming</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Evidence demonstrates the assessed control is implemented and operating for the sampled scope.</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Opportunity for Improvement (OFI)</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 useful improvement is identified but evidence does not demonstrate a nonconformity under the approved criteria.</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Minor Nonconformity</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 limited or non-systemic failure against an applicable criterion, subject to the organization’s approved audit taxonomy.</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Major Nonconformity</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 systemic, absent or materially ineffective control, or other condition meeting the organization’s approved major-classification criteria.</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Evidence Limitation</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The auditor cannot conclude because required evidence is unavailable or the sample is insufficient; do not convert uncertainty into a finding without support.</w:t>
            </w:r>
          </w:p>
        </w:tc>
      </w:tr>
    </w:tbl>
    <w:tbl>
      <w:tblPr>
        <w:tblW w:type="auto" w:w="0"/>
        <w:jc w:val="center"/>
        <w:tblLayout w:type="autofit"/>
        <w:tblLook w:val="04A0"/>
      </w:tblPr>
      <w:tblGrid>
        <w:gridCol w:w="9355"/>
      </w:tblGrid>
      <w:tr>
        <w:trPr>
          <w:cantSplit/>
        </w:trP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Finding classifications above are a practical internal-audit taxonomy, not quoted ISO 18295 wording. Use the organization’s approved classification method and certification-body expectations where applicable.</w:t>
            </w:r>
          </w:p>
        </w:tc>
      </w:tr>
    </w:tbl>
    <w:p>
      <w:pPr>
        <w:spacing w:after="20"/>
      </w:pPr>
    </w:p>
    <w:p>
      <w:pPr>
        <w:pStyle w:val="Heading1"/>
        <w:keepNext/>
        <w:spacing w:before="120" w:after="60" w:line="252" w:lineRule="auto"/>
      </w:pPr>
      <w:r>
        <w:rPr>
          <w:rFonts w:ascii="Cambria" w:hAnsi="Cambria" w:eastAsia="Cambria"/>
          <w:b/>
          <w:color w:val="1F4E79"/>
          <w:sz w:val="24"/>
        </w:rPr>
        <w:t>8. Audit Report Requirements</w:t>
      </w:r>
    </w:p>
    <w:p>
      <w:pPr>
        <w:pStyle w:val="ListBullet"/>
        <w:spacing w:before="0" w:after="50" w:line="252" w:lineRule="auto"/>
      </w:pPr>
      <w:r>
        <w:rPr>
          <w:rFonts w:ascii="Cambria" w:hAnsi="Cambria" w:eastAsia="Cambria"/>
          <w:sz w:val="20"/>
        </w:rPr>
        <w:t>Audit objective, scope, criteria, dates, team and areas sampled.</w:t>
      </w:r>
    </w:p>
    <w:p>
      <w:pPr>
        <w:pStyle w:val="ListBullet"/>
        <w:spacing w:before="0" w:after="50" w:line="252" w:lineRule="auto"/>
      </w:pPr>
      <w:r>
        <w:rPr>
          <w:rFonts w:ascii="Cambria" w:hAnsi="Cambria" w:eastAsia="Cambria"/>
          <w:sz w:val="20"/>
        </w:rPr>
        <w:t>Executive summary with balanced service assurance conclusion and important evidence limitations.</w:t>
      </w:r>
    </w:p>
    <w:p>
      <w:pPr>
        <w:pStyle w:val="ListBullet"/>
        <w:spacing w:before="0" w:after="50" w:line="252" w:lineRule="auto"/>
      </w:pPr>
      <w:r>
        <w:rPr>
          <w:rFonts w:ascii="Cambria" w:hAnsi="Cambria" w:eastAsia="Cambria"/>
          <w:sz w:val="20"/>
        </w:rPr>
        <w:t>Findings and opportunities with traceable objective evidence.</w:t>
      </w:r>
    </w:p>
    <w:p>
      <w:pPr>
        <w:pStyle w:val="ListBullet"/>
        <w:spacing w:before="0" w:after="50" w:line="252" w:lineRule="auto"/>
      </w:pPr>
      <w:r>
        <w:rPr>
          <w:rFonts w:ascii="Cambria" w:hAnsi="Cambria" w:eastAsia="Cambria"/>
          <w:sz w:val="20"/>
        </w:rPr>
        <w:t>Positive practices where useful to management.</w:t>
      </w:r>
    </w:p>
    <w:p>
      <w:pPr>
        <w:pStyle w:val="ListBullet"/>
        <w:spacing w:before="0" w:after="50" w:line="252" w:lineRule="auto"/>
      </w:pPr>
      <w:r>
        <w:rPr>
          <w:rFonts w:ascii="Cambria" w:hAnsi="Cambria" w:eastAsia="Cambria"/>
          <w:sz w:val="20"/>
        </w:rPr>
        <w:t>Actions, ownership and due dates or the agreed mechanism for action planning.</w:t>
      </w:r>
    </w:p>
    <w:p>
      <w:pPr>
        <w:pStyle w:val="ListBullet"/>
        <w:spacing w:before="0" w:after="50" w:line="252" w:lineRule="auto"/>
      </w:pPr>
      <w:r>
        <w:rPr>
          <w:rFonts w:ascii="Cambria" w:hAnsi="Cambria" w:eastAsia="Cambria"/>
          <w:sz w:val="20"/>
        </w:rPr>
        <w:t>Distribution and confidentiality restrictions appropriate to the evidence.</w:t>
      </w:r>
    </w:p>
    <w:p>
      <w:pPr>
        <w:pStyle w:val="Heading1"/>
        <w:keepNext/>
        <w:spacing w:before="120" w:after="60" w:line="252" w:lineRule="auto"/>
      </w:pPr>
      <w:r>
        <w:rPr>
          <w:rFonts w:ascii="Cambria" w:hAnsi="Cambria" w:eastAsia="Cambria"/>
          <w:b/>
          <w:color w:val="1F4E79"/>
          <w:sz w:val="24"/>
        </w:rPr>
        <w:t>9. Follow-Up and Escalation</w:t>
      </w:r>
    </w:p>
    <w:p>
      <w:pPr>
        <w:spacing w:before="0" w:after="80" w:line="252" w:lineRule="auto"/>
      </w:pPr>
      <w:r>
        <w:rPr>
          <w:rFonts w:ascii="Cambria" w:hAnsi="Cambria" w:eastAsia="Cambria"/>
          <w:i w:val="0"/>
          <w:sz w:val="20"/>
        </w:rPr>
        <w:t>Material findings are not closed solely because a document was issued or an action was marked complete. Verify the implemented control and, where the issue is systemic or high-impact, use an appropriate follow-up sample, data trend or operating-period evidence to determine effectiveness. Escalate overdue or ineffective actions through the audit programme and service-management review process.</w:t>
      </w:r>
    </w:p>
    <w:p>
      <w:pPr>
        <w:pStyle w:val="Heading1"/>
        <w:keepNext/>
        <w:spacing w:before="120" w:after="60" w:line="252" w:lineRule="auto"/>
      </w:pPr>
      <w:r>
        <w:rPr>
          <w:rFonts w:ascii="Cambria" w:hAnsi="Cambria" w:eastAsia="Cambria"/>
          <w:b/>
          <w:color w:val="1F4E79"/>
          <w:sz w:val="24"/>
        </w:rPr>
        <w:t>10. Records</w:t>
      </w:r>
    </w:p>
    <w:tbl>
      <w:tblPr>
        <w:tblW w:type="auto" w:w="0"/>
        <w:jc w:val="center"/>
        <w:tblLayout w:type="fixed"/>
        <w:tblLook w:val="04A0"/>
      </w:tblPr>
      <w:tblGrid>
        <w:gridCol w:w="4677"/>
        <w:gridCol w:w="4677"/>
      </w:tblGrid>
      <w:tr>
        <w:trPr>
          <w:tblHeader w:val="true"/>
        </w:trPr>
        <w:tc>
          <w:tcPr>
            <w:tcW w:type="dxa" w:w="340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Record</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Minimum Control</w:t>
            </w:r>
          </w:p>
        </w:tc>
      </w:tr>
      <w:tr>
        <w:trPr>
          <w:cantSplit/>
        </w:trPr>
        <w:tc>
          <w:tcPr>
            <w:tcW w:type="dxa" w:w="340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 programme / plan</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Controlled current version and approval as applicable.</w:t>
            </w:r>
          </w:p>
        </w:tc>
      </w:tr>
      <w:tr>
        <w:trPr>
          <w:cantSplit/>
        </w:trPr>
        <w:tc>
          <w:tcPr>
            <w:tcW w:type="dxa" w:w="340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Working papers / evidence references</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Restricted access proportionate to customer and employee information.</w:t>
            </w:r>
          </w:p>
        </w:tc>
      </w:tr>
      <w:tr>
        <w:trPr>
          <w:cantSplit/>
        </w:trPr>
        <w:tc>
          <w:tcPr>
            <w:tcW w:type="dxa" w:w="340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 report</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Controlled final report and approved distribution.</w:t>
            </w:r>
          </w:p>
        </w:tc>
      </w:tr>
      <w:tr>
        <w:trPr>
          <w:cantSplit/>
        </w:trPr>
        <w:tc>
          <w:tcPr>
            <w:tcW w:type="dxa" w:w="340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Corrective action / follow-up evidence</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Owner, due date, implementation evidence and verification where required.</w:t>
            </w:r>
          </w:p>
        </w:tc>
      </w:tr>
      <w:tr>
        <w:trPr>
          <w:cantSplit/>
        </w:trPr>
        <w:tc>
          <w:tcPr>
            <w:tcW w:type="dxa" w:w="340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 competence / assignment evidence</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Retained according to approved internal requirements.</w:t>
            </w:r>
          </w:p>
        </w:tc>
      </w:tr>
    </w:tbl>
    <w:p>
      <w:pPr>
        <w:pStyle w:val="Heading1"/>
        <w:keepNext/>
        <w:spacing w:before="120" w:after="60" w:line="252" w:lineRule="auto"/>
      </w:pPr>
      <w:r>
        <w:rPr>
          <w:rFonts w:ascii="Cambria" w:hAnsi="Cambria" w:eastAsia="Cambria"/>
          <w:b/>
          <w:color w:val="1F4E79"/>
          <w:sz w:val="24"/>
        </w:rPr>
        <w:t>References and Related Sources</w:t>
      </w:r>
    </w:p>
    <w:tbl>
      <w:tblPr>
        <w:tblW w:type="auto" w:w="0"/>
        <w:jc w:val="center"/>
        <w:tblLayout w:type="fixed"/>
        <w:tblLook w:val="04A0"/>
      </w:tblPr>
      <w:tblGrid>
        <w:gridCol w:w="3118"/>
        <w:gridCol w:w="3118"/>
        <w:gridCol w:w="3118"/>
      </w:tblGrid>
      <w:tr>
        <w:trPr>
          <w:tblHeader w:val="true"/>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Reference</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Use in this document</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Source / Location</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 18295-1:2017</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Requirements for customer contact centres; applicable to in-house and outsourced contact centres across interaction channels.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https://www.iso.org/standard/64739.html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 18295-2:2017</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Requirements for organizations using customer contact centre services; relevant to client/service-provider arrangements.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https://www.iso.org/standard/64740.html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ISO/AWI 18295-1</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Revision project for Part 1; monitor for future replacement of the 2017 edition.</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https://www.iso.org/standard/94393.html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ISO/AWI 18295-2</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Revision project for Part 2; monitor for future replacement of the 2017 edition.</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https://www.iso.org/standard/94394.html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Organization service documentation</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Approved service scope, client requirements, scripts/knowledge, QA records, workforce records, complaints, KPI and review records.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[INTERNAL SOURCE / REPOSITORY]</w:t>
            </w:r>
          </w:p>
        </w:tc>
      </w:tr>
    </w:tbl>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Internal Audit / Service Quality Lead</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Service Management / Senior Management</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Internal Service Audit Procedure</w:t>
          </w:r>
        </w:p>
      </w:tc>
      <w:tc>
        <w:tcPr>
          <w:tcW w:type="dxa" w:w="2324"/>
          <w:tcMar>
            <w:top w:w="20" w:type="dxa"/>
            <w:left w:w="40" w:type="dxa"/>
            <w:bottom w:w="20" w:type="dxa"/>
            <w:right w:w="40" w:type="dxa"/>
          </w:tcMar>
        </w:tcPr>
        <w:p>
          <w:pPr>
            <w:jc w:val="right"/>
          </w:pPr>
          <w:r>
            <w:rPr>
              <w:rFonts w:ascii="Cambria" w:hAnsi="Cambria" w:eastAsia="Cambria"/>
              <w:b/>
              <w:color w:val="666666"/>
              <w:sz w:val="16"/>
            </w:rPr>
            <w:t>CCC-PRO-003</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