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DOCUMENTED INFORMATION PROCEDURE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 Document Control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the method to create, review, approve, issue, access, change, protect, retain and dispose of customer contact centre service documents and records so personnel can rely on current information and service evidence remains traceable.</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controlled service documents and records in any approved medium, including policies, procedures, scripts, knowledge articles, forms, service/client requirements, KPI definitions, quality records, training records, complaints, management-review records and relevant interaction records.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Retention, access and disclosure rules for call recordings, transcripts, chats, personal data and client information are jurisdiction- and contract-sensitive. Define them from authoritative legal, regulatory, contractual and privacy requirements before controlled release.</w:t>
            </w:r>
          </w:p>
        </w:tc>
      </w:tr>
    </w:tbl>
    <w:p>
      <w:pPr>
        <w:spacing w:after="20"/>
      </w:pP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Senior Management / Approver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controlled documents requiring management authorization and support adequate document/record controls.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Management Lead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Ensure service procedures, KPI definitions and key service records remain current and usable.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 Knowledge Owner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Draft, review and maintain assigned content; initiate change when service requirements change.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 Training / Operations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approved documents and retain required service, quality and competence records.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Control / Repository Administrator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approved versions, permissions, archival status and retention controls.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All Users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current controlled information and report obsolete, inaccurate or inaccessible content.</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1871"/>
        <w:gridCol w:w="1871"/>
        <w:gridCol w:w="1871"/>
        <w:gridCol w:w="1871"/>
        <w:gridCol w:w="1871"/>
      </w:tblGrid>
      <w:tr>
        <w:trPr>
          <w:tblHeader w:val="true"/>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Step</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Activity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Responsible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Control Requirement</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Output /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Need / create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Document Owner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Define purpose, audience, owner, classification and required format. Avoid duplicating an existing controlled document.</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Draft document / record requirement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content</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Document Owner + Reviewer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Confirm technical accuracy, customer/service requirements, client requirements and related process interfaces.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Reviewed draft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3</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Authorized Approver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 the content and effective date at the appropriate authority level.</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Approved master</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4</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Issue / publish</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Document Control</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Publish the controlled version to the approved repository and remove or mark superseded copies.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Current controlled version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5</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Communicate / train</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Operations / Training</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Communicate material changes and provide training or briefing where the change affects service delivery.</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Communication / training evidence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6</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Use and protect</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All Users / System Owners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Provide appropriate access while protecting confidential, personal and client information.</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Usage / access evidence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7</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Control external information</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Assigned Owner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Maintain authoritative client requirements, contracts, legal/regulatory references or other external sources needed by the service.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External-source register / approved link</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8</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Change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Document Owner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triggers include complaints, quality findings, KPI changes, process/technology change, client instructions and audit actions.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Revised approved version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9</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Retain / archive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Record Owner / Administrator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Apply approved retention, archival and retrieval rules. Preserve evidence needed for service, assurance and contractual purposes.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Archived controlled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10</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Dispose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Authorized Owner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Dispose of information when retention expires and no legal/contractual hold applies; use approved secure methods.</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Disposal evidence where required</w:t>
            </w:r>
          </w:p>
        </w:tc>
      </w:tr>
    </w:tbl>
    <w:p>
      <w:pPr>
        <w:pStyle w:val="Heading1"/>
        <w:keepNext/>
        <w:spacing w:before="120" w:after="60" w:line="252" w:lineRule="auto"/>
      </w:pPr>
      <w:r>
        <w:rPr>
          <w:rFonts w:ascii="Cambria" w:hAnsi="Cambria" w:eastAsia="Cambria"/>
          <w:b/>
          <w:color w:val="1F4E79"/>
          <w:sz w:val="24"/>
        </w:rPr>
        <w:t>5. Special Controls for Scripts, Knowledge and KPI Definitions</w:t>
      </w:r>
    </w:p>
    <w:p>
      <w:pPr>
        <w:pStyle w:val="ListBullet"/>
        <w:spacing w:before="0" w:after="50" w:line="252" w:lineRule="auto"/>
      </w:pPr>
      <w:r>
        <w:rPr>
          <w:rFonts w:ascii="Cambria" w:hAnsi="Cambria" w:eastAsia="Cambria"/>
          <w:sz w:val="20"/>
        </w:rPr>
        <w:t>Scripts and knowledge articles should identify an owner, approval state and review trigger; urgent updates should have controlled emergency publication where required.</w:t>
      </w:r>
    </w:p>
    <w:p>
      <w:pPr>
        <w:pStyle w:val="ListBullet"/>
        <w:spacing w:before="0" w:after="50" w:line="252" w:lineRule="auto"/>
      </w:pPr>
      <w:r>
        <w:rPr>
          <w:rFonts w:ascii="Cambria" w:hAnsi="Cambria" w:eastAsia="Cambria"/>
          <w:sz w:val="20"/>
        </w:rPr>
        <w:t>Content that affects authentication, customer commitments, regulated statements or complaint handling should receive appropriate specialist review.</w:t>
      </w:r>
    </w:p>
    <w:p>
      <w:pPr>
        <w:pStyle w:val="ListBullet"/>
        <w:spacing w:before="0" w:after="50" w:line="252" w:lineRule="auto"/>
      </w:pPr>
      <w:r>
        <w:rPr>
          <w:rFonts w:ascii="Cambria" w:hAnsi="Cambria" w:eastAsia="Cambria"/>
          <w:sz w:val="20"/>
        </w:rPr>
        <w:t>KPI definitions should document data source, calculation, exclusions, frequency, owner and reporting purpose so results are reproducible.</w:t>
      </w:r>
    </w:p>
    <w:p>
      <w:pPr>
        <w:pStyle w:val="ListBullet"/>
        <w:spacing w:before="0" w:after="50" w:line="252" w:lineRule="auto"/>
      </w:pPr>
      <w:r>
        <w:rPr>
          <w:rFonts w:ascii="Cambria" w:hAnsi="Cambria" w:eastAsia="Cambria"/>
          <w:sz w:val="20"/>
        </w:rPr>
        <w:t>Superseded content should be removed from normal use or clearly marked so agents do not rely on obsolete instructions.</w:t>
      </w:r>
    </w:p>
    <w:p>
      <w:pPr>
        <w:pStyle w:val="Heading1"/>
        <w:keepNext/>
        <w:spacing w:before="120" w:after="60" w:line="252" w:lineRule="auto"/>
      </w:pPr>
      <w:r>
        <w:rPr>
          <w:rFonts w:ascii="Cambria" w:hAnsi="Cambria" w:eastAsia="Cambria"/>
          <w:b/>
          <w:color w:val="1F4E79"/>
          <w:sz w:val="24"/>
        </w:rPr>
        <w:t>6. Service Records</w:t>
      </w:r>
    </w:p>
    <w:tbl>
      <w:tblPr>
        <w:tblW w:type="auto" w:w="0"/>
        <w:jc w:val="center"/>
        <w:tblLayout w:type="fixed"/>
        <w:tblLook w:val="04A0"/>
      </w:tblPr>
      <w:tblGrid>
        <w:gridCol w:w="4677"/>
        <w:gridCol w:w="4677"/>
      </w:tblGrid>
      <w:tr>
        <w:trPr>
          <w:tblHeader w:val="true"/>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 Type</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Control</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Interaction / recording / transcript</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capture basis, authorized access, retention and secure deletion according to applicable requirements.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evaluation / calibration</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Traceable evaluator, date, sample reference, result and follow-up where required.</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Training / competence record</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Person/role, learning or assessment completed, date and evidence of completion.</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Complaint / escalation record</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Customer/service reference, issue, owner, action, communication and closure evidence.</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 / management report</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Defined source, period, calculation basis, review and retained management output.</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review / audit record</w:t>
            </w:r>
          </w:p>
        </w:tc>
        <w:tc>
          <w:tcPr>
            <w:tcW w:type="dxa" w:w="629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 evidence, decisions/findings, actions, owners and closure evidence.</w:t>
            </w:r>
          </w:p>
        </w:tc>
      </w:tr>
    </w:tbl>
    <w:p>
      <w:pPr>
        <w:pStyle w:val="Heading1"/>
        <w:keepNext/>
        <w:spacing w:before="120" w:after="60" w:line="252" w:lineRule="auto"/>
      </w:pPr>
      <w:r>
        <w:rPr>
          <w:rFonts w:ascii="Cambria" w:hAnsi="Cambria" w:eastAsia="Cambria"/>
          <w:b/>
          <w:color w:val="1F4E79"/>
          <w:sz w:val="24"/>
        </w:rPr>
        <w:t>7. Exceptions and Escalation</w:t>
      </w:r>
    </w:p>
    <w:p>
      <w:pPr>
        <w:spacing w:before="0" w:after="80" w:line="252" w:lineRule="auto"/>
      </w:pPr>
      <w:r>
        <w:rPr>
          <w:rFonts w:ascii="Cambria" w:hAnsi="Cambria" w:eastAsia="Cambria"/>
          <w:i w:val="0"/>
          <w:sz w:val="20"/>
        </w:rPr>
        <w:t>Where urgent service or safety needs require temporary instructions before the normal approval cycle, use a controlled interim instruction with owner, authorization, effective period and planned formalization/withdrawal. Escalate conflicting client, legal or operational requirements to the designated authority before release.</w:t>
      </w:r>
    </w:p>
    <w:p>
      <w:pPr>
        <w:pStyle w:val="Heading1"/>
        <w:keepNext/>
        <w:spacing w:before="120" w:after="60" w:line="252" w:lineRule="auto"/>
      </w:pPr>
      <w:r>
        <w:rPr>
          <w:rFonts w:ascii="Cambria" w:hAnsi="Cambria" w:eastAsia="Cambria"/>
          <w:b/>
          <w:color w:val="1F4E79"/>
          <w:sz w:val="24"/>
        </w:rPr>
        <w:t>8. Records</w:t>
      </w:r>
    </w:p>
    <w:p>
      <w:pPr>
        <w:pStyle w:val="ListBullet"/>
        <w:spacing w:before="0" w:after="50" w:line="252" w:lineRule="auto"/>
      </w:pPr>
      <w:r>
        <w:rPr>
          <w:rFonts w:ascii="Cambria" w:hAnsi="Cambria" w:eastAsia="Cambria"/>
          <w:sz w:val="20"/>
        </w:rPr>
        <w:t>Controlled document register / repository metadata</w:t>
      </w:r>
    </w:p>
    <w:p>
      <w:pPr>
        <w:pStyle w:val="ListBullet"/>
        <w:spacing w:before="0" w:after="50" w:line="252" w:lineRule="auto"/>
      </w:pPr>
      <w:r>
        <w:rPr>
          <w:rFonts w:ascii="Cambria" w:hAnsi="Cambria" w:eastAsia="Cambria"/>
          <w:sz w:val="20"/>
        </w:rPr>
        <w:t>Approval and revision history</w:t>
      </w:r>
    </w:p>
    <w:p>
      <w:pPr>
        <w:pStyle w:val="ListBullet"/>
        <w:spacing w:before="0" w:after="50" w:line="252" w:lineRule="auto"/>
      </w:pPr>
      <w:r>
        <w:rPr>
          <w:rFonts w:ascii="Cambria" w:hAnsi="Cambria" w:eastAsia="Cambria"/>
          <w:sz w:val="20"/>
        </w:rPr>
        <w:t>Distribution or publication record where required</w:t>
      </w:r>
    </w:p>
    <w:p>
      <w:pPr>
        <w:pStyle w:val="ListBullet"/>
        <w:spacing w:before="0" w:after="50" w:line="252" w:lineRule="auto"/>
      </w:pPr>
      <w:r>
        <w:rPr>
          <w:rFonts w:ascii="Cambria" w:hAnsi="Cambria" w:eastAsia="Cambria"/>
          <w:sz w:val="20"/>
        </w:rPr>
        <w:t>External-source / client-requirement register where used</w:t>
      </w:r>
    </w:p>
    <w:p>
      <w:pPr>
        <w:pStyle w:val="ListBullet"/>
        <w:spacing w:before="0" w:after="50" w:line="252" w:lineRule="auto"/>
      </w:pPr>
      <w:r>
        <w:rPr>
          <w:rFonts w:ascii="Cambria" w:hAnsi="Cambria" w:eastAsia="Cambria"/>
          <w:sz w:val="20"/>
        </w:rPr>
        <w:t>Archive and disposal evidence where required</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 Document Control</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Documented Information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CCC-PRO-001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