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pStyle w:val="Title"/>
        <w:jc w:val="left"/>
      </w:pPr>
      <w:r>
        <w:rPr>
          <w:rFonts w:ascii="Cambria" w:hAnsi="Cambria" w:eastAsia="Cambria" w:cs="Cambria"/>
          <w:b/>
          <w:i w:val="0"/>
          <w:color w:val="1F4E79"/>
          <w:sz w:val="40"/>
        </w:rPr>
        <w:t>ENVIRONMENTAL POLICY, OBJECTIVES &amp; INDICATORS GUIDANCE</w:t>
      </w:r>
    </w:p>
    <w:p>
      <w:pPr>
        <w:spacing w:before="0" w:after="160" w:line="252" w:lineRule="auto"/>
      </w:pPr>
      <w:r>
        <w:rPr>
          <w:rFonts w:ascii="Cambria" w:hAnsi="Cambria" w:eastAsia="Cambria" w:cs="Cambria"/>
          <w:b/>
          <w:i w:val="0"/>
          <w:color w:val="000000"/>
          <w:sz w:val="22"/>
        </w:rPr>
        <w:t>ISO 14001:2026</w:t>
      </w:r>
    </w:p>
    <w:tbl>
      <w:tblPr>
        <w:tblW w:type="auto" w:w="0"/>
        <w:jc w:val="center"/>
        <w:tblLayout w:type="fixed"/>
        <w:tblLook w:val="04A0"/>
      </w:tblPr>
      <w:tblGrid>
        <w:gridCol w:w="2339"/>
        <w:gridCol w:w="2339"/>
        <w:gridCol w:w="2339"/>
        <w:gridCol w:w="2339"/>
      </w:tblGrid>
      <w:tr>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Document Owner</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EMS Manager / Environmental Manager</w:t>
            </w:r>
          </w:p>
        </w:tc>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Approver</w:t>
            </w:r>
          </w:p>
        </w:tc>
        <w:tc>
          <w:tcPr>
            <w:tcW w:type="dxa" w:w="31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Top Management</w:t>
            </w:r>
          </w:p>
        </w:tc>
      </w:tr>
      <w:tr>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Classification</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INTERNAL</w:t>
            </w:r>
          </w:p>
        </w:tc>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Next Review</w:t>
            </w:r>
          </w:p>
        </w:tc>
        <w:tc>
          <w:tcPr>
            <w:tcW w:type="dxa" w:w="31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2027-09-18</w:t>
            </w:r>
          </w:p>
        </w:tc>
      </w:tr>
    </w:tbl>
    <w:p/>
    <w:p>
      <w:pPr>
        <w:pStyle w:val="Heading1"/>
      </w:pPr>
      <w:r>
        <w:rPr>
          <w:rFonts w:ascii="Cambria" w:hAnsi="Cambria" w:eastAsia="Cambria" w:cs="Cambria"/>
          <w:b/>
          <w:i w:val="0"/>
          <w:color w:val="1F4E79"/>
          <w:sz w:val="25"/>
        </w:rPr>
        <w:t>1. Purpose and Use</w:t>
      </w:r>
    </w:p>
    <w:p>
      <w:pPr>
        <w:spacing w:before="0" w:after="80" w:line="252" w:lineRule="auto"/>
      </w:pPr>
      <w:r>
        <w:rPr>
          <w:rFonts w:ascii="Cambria" w:hAnsi="Cambria" w:eastAsia="Cambria" w:cs="Cambria"/>
          <w:b w:val="0"/>
          <w:i w:val="0"/>
          <w:color w:val="000000"/>
          <w:sz w:val="20"/>
        </w:rPr>
        <w:t>Use this guidance to develop or refresh the Environmental Policy and convert material EMS priorities into measurable objectives, indicators and action plans. It supports practical alignment between policy commitments, significant environmental aspects, compliance obligations, business priorities and performance data.</w:t>
      </w:r>
    </w:p>
    <w:p>
      <w:pPr>
        <w:pStyle w:val="Heading1"/>
      </w:pPr>
      <w:r>
        <w:rPr>
          <w:rFonts w:ascii="Cambria" w:hAnsi="Cambria" w:eastAsia="Cambria" w:cs="Cambria"/>
          <w:b/>
          <w:i w:val="0"/>
          <w:color w:val="1F4E79"/>
          <w:sz w:val="25"/>
        </w:rPr>
        <w:t>2. Environmental Policy - What It Should Do</w:t>
      </w:r>
    </w:p>
    <w:p>
      <w:pPr>
        <w:spacing w:before="0" w:after="80" w:line="252" w:lineRule="auto"/>
      </w:pPr>
      <w:r>
        <w:rPr>
          <w:rFonts w:ascii="Cambria" w:hAnsi="Cambria" w:eastAsia="Cambria" w:cs="Cambria"/>
          <w:b w:val="0"/>
          <w:i w:val="0"/>
          <w:color w:val="000000"/>
          <w:sz w:val="20"/>
        </w:rPr>
        <w:t>The policy should be concise enough to communicate and broad enough to guide decisions. It should reflect the organization’s purpose and EMS scope and establish commitments that management can support through resources, controls and measurable action.</w:t>
      </w:r>
    </w:p>
    <w:tbl>
      <w:tblPr>
        <w:tblW w:type="auto" w:w="0"/>
        <w:jc w:val="center"/>
        <w:tblLayout w:type="fixed"/>
        <w:tblLook w:val="04A0"/>
      </w:tblPr>
      <w:tblGrid>
        <w:gridCol w:w="4677"/>
        <w:gridCol w:w="4677"/>
      </w:tblGrid>
      <w:tr>
        <w:trPr>
          <w:tblHeader w:val="true"/>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Policy Element</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Practical Question</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Environmental protection</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Does the policy express relevant commitments such as pollution prevention and protection of the environment in a way that fits the organization’s context?</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Compliance obligations</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Does it clearly commit the organization to fulfil applicable environmental legal and other requirements?</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Objectives</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Does it provide a framework for setting and reviewing environmental objectives?</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Continual improvement</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Does it commit to continual improvement of the EMS and environmental performance?</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Communication</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Can workers and relevant external parties understand the policy and how it affects decisions?</w:t>
            </w:r>
          </w:p>
        </w:tc>
      </w:tr>
    </w:tbl>
    <w:tbl>
      <w:tblPr>
        <w:tblW w:type="auto" w:w="0"/>
        <w:jc w:val="center"/>
        <w:tblLook w:val="04A0"/>
      </w:tblPr>
      <w:tblGrid>
        <w:gridCol w:w="9355"/>
      </w:tblGrid>
      <w:t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100" w:type="dxa"/>
              <w:left w:w="130" w:type="dxa"/>
              <w:bottom w:w="100" w:type="dxa"/>
              <w:right w:w="130" w:type="dxa"/>
            </w:tcMar>
          </w:tcPr>
          <w:p>
            <w:r>
              <w:rPr>
                <w:rFonts w:ascii="Cambria" w:hAnsi="Cambria" w:eastAsia="Cambria" w:cs="Cambria"/>
                <w:b/>
                <w:i w:val="0"/>
                <w:color w:val="000000"/>
                <w:sz w:val="18"/>
              </w:rPr>
              <w:t xml:space="preserve">NOTE: </w:t>
            </w:r>
            <w:r>
              <w:rPr>
                <w:rFonts w:ascii="Cambria" w:hAnsi="Cambria" w:eastAsia="Cambria" w:cs="Cambria"/>
                <w:b w:val="0"/>
                <w:i w:val="0"/>
                <w:color w:val="000000"/>
                <w:sz w:val="18"/>
              </w:rPr>
              <w:t>Do not copy standard wording merely to sound compliant. Use organization-specific language that management can explain and operational functions can act on.</w:t>
            </w:r>
          </w:p>
        </w:tc>
      </w:tr>
    </w:tbl>
    <w:p>
      <w:pPr>
        <w:pStyle w:val="Heading1"/>
      </w:pPr>
      <w:r>
        <w:rPr>
          <w:rFonts w:ascii="Cambria" w:hAnsi="Cambria" w:eastAsia="Cambria" w:cs="Cambria"/>
          <w:b/>
          <w:i w:val="0"/>
          <w:color w:val="1F4E79"/>
          <w:sz w:val="25"/>
        </w:rPr>
        <w:t>3. Selecting Environmental Objectives</w:t>
      </w:r>
    </w:p>
    <w:p>
      <w:pPr>
        <w:spacing w:before="0" w:after="80" w:line="252" w:lineRule="auto"/>
      </w:pPr>
      <w:r>
        <w:rPr>
          <w:rFonts w:ascii="Cambria" w:hAnsi="Cambria" w:eastAsia="Cambria" w:cs="Cambria"/>
          <w:b w:val="0"/>
          <w:i w:val="0"/>
          <w:color w:val="000000"/>
          <w:sz w:val="20"/>
        </w:rPr>
        <w:t>Objectives should be selected from evidence, not from a generic list. Consider significant aspects, compliance obligations, risks/opportunities, adverse trends, incidents, stakeholder expectations, operational opportunities, lifecycle influence and management priorities.</w:t>
      </w:r>
    </w:p>
    <w:tbl>
      <w:tblPr>
        <w:tblW w:type="auto" w:w="0"/>
        <w:jc w:val="center"/>
        <w:tblLayout w:type="fixed"/>
        <w:tblLook w:val="04A0"/>
      </w:tblPr>
      <w:tblGrid>
        <w:gridCol w:w="4677"/>
        <w:gridCol w:w="4677"/>
      </w:tblGrid>
      <w:tr>
        <w:trPr>
          <w:tblHeader w:val="true"/>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Selection Test</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Use</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Materiality</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Would improvement meaningfully reduce environmental impact, improve control or strengthen compliance assurance?</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Control / influence</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Can the organization directly control or meaningfully influence the outcome?</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Measurability</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Can progress be measured or otherwise evaluated consistently?</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Ownership</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Is there a function with authority and resources to act?</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Decision value</w:t>
            </w:r>
          </w:p>
        </w:tc>
        <w:tc>
          <w:tcPr>
            <w:tcW w:type="dxa" w:w="685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Will the indicator trigger a decision, action or review when performance deviates?</w:t>
            </w:r>
          </w:p>
        </w:tc>
      </w:tr>
    </w:tbl>
    <w:p>
      <w:pPr>
        <w:pStyle w:val="Heading1"/>
      </w:pPr>
      <w:r>
        <w:rPr>
          <w:rFonts w:ascii="Cambria" w:hAnsi="Cambria" w:eastAsia="Cambria" w:cs="Cambria"/>
          <w:b/>
          <w:i w:val="0"/>
          <w:color w:val="1F4E79"/>
          <w:sz w:val="25"/>
        </w:rPr>
        <w:t>4. Indicators and Data Quality</w:t>
      </w:r>
    </w:p>
    <w:p>
      <w:pPr>
        <w:spacing w:before="0" w:after="80" w:line="252" w:lineRule="auto"/>
      </w:pPr>
      <w:r>
        <w:rPr>
          <w:rFonts w:ascii="Cambria" w:hAnsi="Cambria" w:eastAsia="Cambria" w:cs="Cambria"/>
          <w:b w:val="0"/>
          <w:i w:val="0"/>
          <w:color w:val="000000"/>
          <w:sz w:val="20"/>
        </w:rPr>
        <w:t>An indicator should have a defined calculation, unit, data source, owner, frequency and interpretation. Where targets are used, define the baseline and period so that performance is comparable. For compliance-related indicators, avoid converting legal compliance into a simple score that could hide an unverified obligation.</w:t>
      </w:r>
    </w:p>
    <w:tbl>
      <w:tblPr>
        <w:tblW w:type="auto" w:w="0"/>
        <w:jc w:val="center"/>
        <w:tblLayout w:type="fixed"/>
        <w:tblLook w:val="04A0"/>
      </w:tblPr>
      <w:tblGrid>
        <w:gridCol w:w="4677"/>
        <w:gridCol w:w="4677"/>
      </w:tblGrid>
      <w:tr>
        <w:trPr>
          <w:tblHeader w:val="true"/>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Indicator Design Field</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Minimum Content</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Indicator</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Specific measure, not a broad theme.</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Calculation / Unit</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How the value is derived and the unit used.</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Data Source</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System, meter, log, invoice, laboratory result, inspection or other traceable source.</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Frequency</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How often data is collected and reviewed.</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Target / Trigger</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Desired result and/or threshold that triggers investigation or action.</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Owner</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Role accountable for data review and response.</w:t>
            </w:r>
          </w:p>
        </w:tc>
      </w:tr>
    </w:tbl>
    <w:p>
      <w:pPr>
        <w:pStyle w:val="Heading1"/>
      </w:pPr>
      <w:r>
        <w:rPr>
          <w:rFonts w:ascii="Cambria" w:hAnsi="Cambria" w:eastAsia="Cambria" w:cs="Cambria"/>
          <w:b/>
          <w:i w:val="0"/>
          <w:color w:val="1F4E79"/>
          <w:sz w:val="25"/>
        </w:rPr>
        <w:t>5. Planning to Achieve Objectives</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Plan Element</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Practical Requirement</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Action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Specific activity or project linked to the objective.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Resources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People, budget, equipment, supplier support or technical expertise needed.</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Owner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One accountable role with authority to coordinate completion.</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Due date / milestones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Time-bound points that support management follow-up.</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Evaluation method</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How the organization will determine whether the action and objective are effective.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Change integration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How relevant changes to processes, equipment, suppliers or products will be reflected.</w:t>
            </w:r>
          </w:p>
        </w:tc>
      </w:tr>
    </w:tbl>
    <w:p>
      <w:pPr>
        <w:pStyle w:val="Heading1"/>
      </w:pPr>
      <w:r>
        <w:rPr>
          <w:rFonts w:ascii="Cambria" w:hAnsi="Cambria" w:eastAsia="Cambria" w:cs="Cambria"/>
          <w:b/>
          <w:i w:val="0"/>
          <w:color w:val="1F4E79"/>
          <w:sz w:val="25"/>
        </w:rPr>
        <w:t>6. Illustrative Objectives and Indicators</w:t>
      </w:r>
    </w:p>
    <w:tbl>
      <w:tblPr>
        <w:tblW w:type="auto" w:w="0"/>
        <w:jc w:val="center"/>
        <w:tblLook w:val="04A0"/>
      </w:tblPr>
      <w:tblGrid>
        <w:gridCol w:w="9355"/>
      </w:tblGrid>
      <w:t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100" w:type="dxa"/>
              <w:left w:w="130" w:type="dxa"/>
              <w:bottom w:w="100" w:type="dxa"/>
              <w:right w:w="130" w:type="dxa"/>
            </w:tcMar>
          </w:tcPr>
          <w:p>
            <w:r>
              <w:rPr>
                <w:rFonts w:ascii="Cambria" w:hAnsi="Cambria" w:eastAsia="Cambria" w:cs="Cambria"/>
                <w:b/>
                <w:i w:val="0"/>
                <w:color w:val="000000"/>
                <w:sz w:val="18"/>
              </w:rPr>
              <w:t xml:space="preserve">ILLUSTRATIVE DATA: </w:t>
            </w:r>
            <w:r>
              <w:rPr>
                <w:rFonts w:ascii="Cambria" w:hAnsi="Cambria" w:eastAsia="Cambria" w:cs="Cambria"/>
                <w:b w:val="0"/>
                <w:i w:val="0"/>
                <w:color w:val="000000"/>
                <w:sz w:val="18"/>
              </w:rPr>
              <w:t>The following 5 rows are Illustrative Data only. Targets must be reset using the organization’s verified baseline, significant aspects, compliance obligations, resources and approved priorities.</w:t>
            </w:r>
          </w:p>
        </w:tc>
      </w:tr>
    </w:tbl>
    <w:tbl>
      <w:tblPr>
        <w:tblW w:type="auto" w:w="0"/>
        <w:jc w:val="center"/>
        <w:tblLayout w:type="fixed"/>
        <w:tblLook w:val="04A0"/>
      </w:tblPr>
      <w:tblGrid>
        <w:gridCol w:w="1559"/>
        <w:gridCol w:w="1559"/>
        <w:gridCol w:w="1559"/>
        <w:gridCol w:w="1559"/>
        <w:gridCol w:w="1559"/>
        <w:gridCol w:w="1559"/>
      </w:tblGrid>
      <w:tr>
        <w:trPr>
          <w:tblHeader w:val="true"/>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Data Type</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Objective / Indicator</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Illustrative Target</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Owner</w:t>
            </w:r>
          </w:p>
        </w:tc>
        <w:tc>
          <w:tcPr>
            <w:tcW w:type="dxa" w:w="11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Review</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Status</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Reduce electricity intensity (kWh per unit or equivalent operational denominator).</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5% reduction against an approved baseline within 12 months.</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Engineering Manager</w:t>
            </w:r>
          </w:p>
        </w:tc>
        <w:tc>
          <w:tcPr>
            <w:tcW w:type="dxa" w:w="11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Monthly</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In Progress</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Reduce mixed waste sent to disposal per unit of output.</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10% reduction against an approved baseline within 12 months.</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Facilities Manager</w:t>
            </w:r>
          </w:p>
        </w:tc>
        <w:tc>
          <w:tcPr>
            <w:tcW w:type="dxa" w:w="11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Monthly</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Not Started</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Complete planned wastewater monitoring and review on time.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100% of planned monitoring completed and reviewed within the defined period.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Utilities Manager</w:t>
            </w:r>
          </w:p>
        </w:tc>
        <w:tc>
          <w:tcPr>
            <w:tcW w:type="dxa" w:w="11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Monthly</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On Track</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Screen relevant high-impact suppliers for applicable environmental criteria before approval.</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100% of in-scope new suppliers screened before approval.</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Procurement Manager</w:t>
            </w:r>
          </w:p>
        </w:tc>
        <w:tc>
          <w:tcPr>
            <w:tcW w:type="dxa" w:w="11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Quarterly</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In Progress</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Close environmental emergency drill actions by the agreed due date.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At least 90% of drill actions closed on time, with overdue high-priority actions escalated.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Site Manager</w:t>
            </w:r>
          </w:p>
        </w:tc>
        <w:tc>
          <w:tcPr>
            <w:tcW w:type="dxa" w:w="11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Quarterly</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Closed</w:t>
            </w:r>
          </w:p>
        </w:tc>
      </w:tr>
    </w:tbl>
    <w:p>
      <w:pPr>
        <w:pStyle w:val="Heading1"/>
      </w:pPr>
      <w:r>
        <w:rPr>
          <w:rFonts w:ascii="Cambria" w:hAnsi="Cambria" w:eastAsia="Cambria" w:cs="Cambria"/>
          <w:b/>
          <w:i w:val="0"/>
          <w:color w:val="1F4E79"/>
          <w:sz w:val="25"/>
        </w:rPr>
        <w:t>7. Review and Escalation</w:t>
      </w:r>
    </w:p>
    <w:p>
      <w:pPr>
        <w:pStyle w:val="ListBullet"/>
        <w:spacing w:before="0" w:after="40" w:line="252" w:lineRule="auto"/>
      </w:pPr>
      <w:r>
        <w:rPr>
          <w:rFonts w:ascii="Cambria" w:hAnsi="Cambria" w:eastAsia="Cambria" w:cs="Cambria"/>
          <w:b w:val="0"/>
          <w:i w:val="0"/>
          <w:color w:val="000000"/>
          <w:sz w:val="20"/>
        </w:rPr>
        <w:t>Review trends, not only single-period results.</w:t>
      </w:r>
    </w:p>
    <w:p>
      <w:pPr>
        <w:pStyle w:val="ListBullet"/>
        <w:spacing w:before="0" w:after="40" w:line="252" w:lineRule="auto"/>
      </w:pPr>
      <w:r>
        <w:rPr>
          <w:rFonts w:ascii="Cambria" w:hAnsi="Cambria" w:eastAsia="Cambria" w:cs="Cambria"/>
          <w:b w:val="0"/>
          <w:i w:val="0"/>
          <w:color w:val="000000"/>
          <w:sz w:val="20"/>
        </w:rPr>
        <w:t>Investigate material deviation from target or trigger thresholds.</w:t>
      </w:r>
    </w:p>
    <w:p>
      <w:pPr>
        <w:pStyle w:val="ListBullet"/>
        <w:spacing w:before="0" w:after="40" w:line="252" w:lineRule="auto"/>
      </w:pPr>
      <w:r>
        <w:rPr>
          <w:rFonts w:ascii="Cambria" w:hAnsi="Cambria" w:eastAsia="Cambria" w:cs="Cambria"/>
          <w:b w:val="0"/>
          <w:i w:val="0"/>
          <w:color w:val="000000"/>
          <w:sz w:val="20"/>
        </w:rPr>
        <w:t>Escalate overdue actions where delay could increase environmental or compliance exposure.</w:t>
      </w:r>
    </w:p>
    <w:p>
      <w:pPr>
        <w:pStyle w:val="ListBullet"/>
        <w:spacing w:before="0" w:after="40" w:line="252" w:lineRule="auto"/>
      </w:pPr>
      <w:r>
        <w:rPr>
          <w:rFonts w:ascii="Cambria" w:hAnsi="Cambria" w:eastAsia="Cambria" w:cs="Cambria"/>
          <w:b w:val="0"/>
          <w:i w:val="0"/>
          <w:color w:val="000000"/>
          <w:sz w:val="20"/>
        </w:rPr>
        <w:t>Revalidate objectives when significant aspects, obligations, technology, business activity or stakeholder expectations materially change.</w:t>
      </w:r>
    </w:p>
    <w:p>
      <w:pPr>
        <w:pStyle w:val="ListBullet"/>
        <w:spacing w:before="0" w:after="40" w:line="252" w:lineRule="auto"/>
      </w:pPr>
      <w:r>
        <w:rPr>
          <w:rFonts w:ascii="Cambria" w:hAnsi="Cambria" w:eastAsia="Cambria" w:cs="Cambria"/>
          <w:b w:val="0"/>
          <w:i w:val="0"/>
          <w:color w:val="000000"/>
          <w:sz w:val="20"/>
        </w:rPr>
        <w:t>Retire an objective only with a documented rationale and evidence that the issue is controlled or priorities have legitimately changed.</w:t>
      </w:r>
    </w:p>
    <w:p>
      <w:pPr>
        <w:pStyle w:val="Heading1"/>
      </w:pPr>
      <w:r>
        <w:rPr>
          <w:rFonts w:ascii="Cambria" w:hAnsi="Cambria" w:eastAsia="Cambria" w:cs="Cambria"/>
          <w:b/>
          <w:i w:val="0"/>
          <w:color w:val="1F4E79"/>
          <w:sz w:val="25"/>
        </w:rPr>
        <w:t>8. Communication</w:t>
      </w:r>
    </w:p>
    <w:p>
      <w:pPr>
        <w:spacing w:before="0" w:after="80" w:line="252" w:lineRule="auto"/>
      </w:pPr>
      <w:r>
        <w:rPr>
          <w:rFonts w:ascii="Cambria" w:hAnsi="Cambria" w:eastAsia="Cambria" w:cs="Cambria"/>
          <w:b w:val="0"/>
          <w:i w:val="0"/>
          <w:color w:val="000000"/>
          <w:sz w:val="20"/>
        </w:rPr>
        <w:t>Communicate the policy and relevant objectives in a form appropriate to each audience. Operational personnel should understand the environmental controls and indicators relevant to their work; management should receive trend and exception information that supports decisions.</w:t>
      </w:r>
    </w:p>
    <w:p>
      <w:pPr>
        <w:pStyle w:val="Heading1"/>
      </w:pPr>
      <w:r>
        <w:rPr>
          <w:rFonts w:ascii="Cambria" w:hAnsi="Cambria" w:eastAsia="Cambria" w:cs="Cambria"/>
          <w:b/>
          <w:i w:val="0"/>
          <w:color w:val="1F4E79"/>
          <w:sz w:val="25"/>
        </w:rPr>
        <w:t>9. References</w:t>
      </w:r>
    </w:p>
    <w:p>
      <w:pPr>
        <w:pStyle w:val="ListBullet"/>
        <w:spacing w:before="0" w:after="40" w:line="252" w:lineRule="auto"/>
      </w:pPr>
      <w:r>
        <w:rPr>
          <w:rFonts w:ascii="Cambria" w:hAnsi="Cambria" w:eastAsia="Cambria" w:cs="Cambria"/>
          <w:b w:val="0"/>
          <w:i w:val="0"/>
          <w:color w:val="000000"/>
          <w:sz w:val="20"/>
        </w:rPr>
        <w:t>ISO 14001:2026 - Environmental management systems - Requirements with guidance for use.</w:t>
      </w:r>
    </w:p>
    <w:p>
      <w:pPr>
        <w:pStyle w:val="ListBullet"/>
        <w:spacing w:before="0" w:after="40" w:line="252" w:lineRule="auto"/>
      </w:pPr>
      <w:r>
        <w:rPr>
          <w:rFonts w:ascii="Cambria" w:hAnsi="Cambria" w:eastAsia="Cambria" w:cs="Cambria"/>
          <w:b w:val="0"/>
          <w:i w:val="0"/>
          <w:color w:val="000000"/>
          <w:sz w:val="20"/>
        </w:rPr>
        <w:t>Organization’s environmental aspects/impacts, compliance obligations, objectives, monitoring data and management-review records.</w:t>
      </w:r>
    </w:p>
    <w:p>
      <w:pPr>
        <w:pStyle w:val="Heading1"/>
      </w:pPr>
      <w:r>
        <w:rPr>
          <w:rFonts w:ascii="Cambria" w:hAnsi="Cambria" w:eastAsia="Cambria" w:cs="Cambria"/>
          <w:b/>
          <w:i w:val="0"/>
          <w:color w:val="1F4E79"/>
          <w:sz w:val="25"/>
        </w:rPr>
        <w:t>Approval and Revision</w:t>
      </w:r>
    </w:p>
    <w:tbl>
      <w:tblPr>
        <w:tblW w:type="auto" w:w="0"/>
        <w:jc w:val="center"/>
        <w:tblLayout w:type="fixed"/>
        <w:tblLook w:val="04A0"/>
      </w:tblPr>
      <w:tblGrid>
        <w:gridCol w:w="2339"/>
        <w:gridCol w:w="2339"/>
        <w:gridCol w:w="2339"/>
        <w:gridCol w:w="2339"/>
      </w:tblGrid>
      <w:tr>
        <w:trPr>
          <w:tblHeader w:val="true"/>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Role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Name / Position</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Approval / Signature</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Date</w:t>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Prepared / Maintained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EMS Manager / Environmental Manager</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[REVIEWER / FUNCTION]</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Approved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Top Management</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bl>
    <w:p>
      <w:pPr>
        <w:pStyle w:val="Heading2"/>
      </w:pPr>
      <w:r>
        <w:rPr>
          <w:rFonts w:ascii="Cambria" w:hAnsi="Cambria" w:eastAsia="Cambria" w:cs="Cambria"/>
          <w:b/>
          <w:i w:val="0"/>
          <w:color w:val="000000"/>
          <w:sz w:val="22"/>
        </w:rPr>
        <w:t>Revision History</w:t>
      </w:r>
    </w:p>
    <w:tbl>
      <w:tblPr>
        <w:tblW w:type="auto" w:w="0"/>
        <w:jc w:val="center"/>
        <w:tblLayout w:type="fixed"/>
        <w:tblLook w:val="04A0"/>
      </w:tblPr>
      <w:tblGrid>
        <w:gridCol w:w="3118"/>
        <w:gridCol w:w="3118"/>
        <w:gridCol w:w="3118"/>
      </w:tblGrid>
      <w:tr>
        <w:trPr>
          <w:tblHeader w:val="true"/>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Version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Date</w:t>
            </w:r>
          </w:p>
        </w:tc>
        <w:tc>
          <w:tcPr>
            <w:tcW w:type="dxa" w:w="59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Description</w:t>
            </w:r>
          </w:p>
        </w:tc>
      </w:tr>
      <w:tr>
        <w:trPr>
          <w:cantSplit/>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1.0</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2026-09-18</w:t>
            </w:r>
          </w:p>
        </w:tc>
        <w:tc>
          <w:tcPr>
            <w:tcW w:type="dxa" w:w="59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Initial issue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before="0" w:after="20" w:line="252" w:lineRule="auto"/>
      <w:jc w:val="center"/>
    </w:pPr>
    <w:r>
      <w:rPr>
        <w:rFonts w:ascii="Cambria" w:hAnsi="Cambria" w:eastAsia="Cambria" w:cs="Cambria"/>
        <w:b w:val="0"/>
        <w:i w:val="0"/>
        <w:color w:val="666666"/>
        <w:sz w:val="16"/>
      </w:rPr>
      <w:t>Copyright © ISO Toolkits | www.iso-toolkits.org | info@iso-toolkits.org</w:t>
    </w:r>
  </w:p>
  <w:p>
    <w:pPr>
      <w:spacing w:before="0" w:after="0" w:line="252" w:lineRule="auto"/>
      <w:jc w:val="center"/>
    </w:pPr>
    <w:r>
      <w:rPr>
        <w:rFonts w:ascii="Cambria" w:hAnsi="Cambria" w:eastAsia="Cambria" w:cs="Cambria"/>
        <w:b w:val="0"/>
        <w:i w:val="0"/>
        <w:color w:val="666666"/>
        <w:sz w:val="16"/>
      </w:rPr>
      <w:t xml:space="preserve">CONTROLLED DOCUMENT | INTERNAL | Page </w:t>
    </w:r>
    <w:r>
      <w:rPr>
        <w:rFonts w:ascii="Cambria" w:hAnsi="Cambria" w:eastAsia="Cambria" w:cs="Cambria"/>
        <w:b w:val="0"/>
        <w:i w:val="0"/>
        <w:color w:val="666666"/>
        <w:sz w:val="16"/>
      </w:rPr>
      <w:fldChar w:fldCharType="begin"/>
      <w:instrText xml:space="preserve"> PAGE </w:instrText>
      <w:fldChar w:fldCharType="separate"/>
      <w:t>1</w:t>
      <w:fldChar w:fldCharType="end"/>
    </w:r>
    <w:r>
      <w:rPr>
        <w:rFonts w:ascii="Cambria" w:hAnsi="Cambria" w:eastAsia="Cambria" w:cs="Cambria"/>
        <w:b w:val="0"/>
        <w:i w:val="0"/>
        <w:color w:val="666666"/>
        <w:sz w:val="16"/>
      </w:rPr>
      <w:t xml:space="preserve"> of </w:t>
    </w:r>
    <w:r>
      <w:rPr>
        <w:rFonts w:ascii="Cambria" w:hAnsi="Cambria" w:eastAsia="Cambria" w:cs="Cambria"/>
        <w:b w:val="0"/>
        <w:i w:val="0"/>
        <w:color w:val="666666"/>
        <w:sz w:val="16"/>
      </w:rPr>
      <w:fldChar w:fldCharType="begin"/>
      <w:instrText xml:space="preserve"> NUMPAGES </w:instrText>
      <w:fldChar w:fldCharType="separate"/>
      <w:t>1</w:t>
      <w:fldChar w:fldCharType="end"/>
    </w:r>
  </w:p>
</w:ftr>
</file>

<file path=word/header1.xml><?xml version="1.0" encoding="utf-8"?>
<w:hdr xmlns:w="http://schemas.openxmlformats.org/wordprocessingml/2006/main">
  <w:p>
    <w:pPr>
      <w:pStyle w:val="Header"/>
      <w:spacing w:after="0"/>
    </w:pPr>
    <w:r/>
  </w:p>
  <w:tbl>
    <w:tblPr>
      <w:tblW w:type="auto" w:w="0"/>
      <w:jc w:val="center"/>
      <w:tblLook w:val="04A0"/>
    </w:tblPr>
    <w:tblGrid>
      <w:gridCol w:w="3118"/>
      <w:gridCol w:w="3118"/>
      <w:gridCol w:w="3118"/>
    </w:tblGrid>
    <w:tr>
      <w:tc>
        <w:tcPr>
          <w:tcW w:type="dxa" w:w="1814"/>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F2F2F2" w:val="clear"/>
          <w:tcMar>
            <w:top w:w="50" w:type="dxa"/>
            <w:left w:w="70" w:type="dxa"/>
            <w:bottom w:w="50" w:type="dxa"/>
            <w:right w:w="70" w:type="dxa"/>
          </w:tcMar>
          <w:vAlign w:val="center"/>
        </w:tcPr>
        <w:p>
          <w:pPr>
            <w:jc w:val="center"/>
          </w:pPr>
          <w:r>
            <w:rPr>
              <w:rFonts w:ascii="Cambria" w:hAnsi="Cambria" w:eastAsia="Cambria" w:cs="Cambria"/>
              <w:b/>
              <w:i w:val="0"/>
              <w:color w:val="666666"/>
              <w:sz w:val="15"/>
            </w:rPr>
            <w:t>ORGANIZATION</w:t>
            <w:br/>
            <w:t>LOGO</w:t>
          </w:r>
        </w:p>
      </w:tc>
      <w:tc>
        <w:tcPr>
          <w:tcW w:type="dxa" w:w="5215"/>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EAF3F8" w:val="clear"/>
          <w:tcMar>
            <w:top w:w="50" w:type="dxa"/>
            <w:left w:w="70" w:type="dxa"/>
            <w:bottom w:w="50" w:type="dxa"/>
            <w:right w:w="70" w:type="dxa"/>
          </w:tcMar>
          <w:vAlign w:val="center"/>
        </w:tcPr>
        <w:p>
          <w:pPr>
            <w:jc w:val="center"/>
          </w:pPr>
          <w:r>
            <w:rPr>
              <w:rFonts w:ascii="Cambria" w:hAnsi="Cambria" w:eastAsia="Cambria" w:cs="Cambria"/>
              <w:b/>
              <w:i w:val="0"/>
              <w:color w:val="1F4E79"/>
              <w:sz w:val="17"/>
            </w:rPr>
            <w:t>[ORGANIZATION NAME]</w:t>
            <w:br/>
            <w:t>Environmental Policy, Objectives &amp; Indicators Guidance</w:t>
          </w:r>
        </w:p>
      </w:tc>
      <w:tc>
        <w:tcPr>
          <w:tcW w:type="dxa" w:w="2324"/>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F2F2F2" w:val="clear"/>
          <w:tcMar>
            <w:top w:w="50" w:type="dxa"/>
            <w:left w:w="70" w:type="dxa"/>
            <w:bottom w:w="50" w:type="dxa"/>
            <w:right w:w="70" w:type="dxa"/>
          </w:tcMar>
          <w:vAlign w:val="center"/>
        </w:tcPr>
        <w:p>
          <w:pPr>
            <w:jc w:val="center"/>
          </w:pPr>
          <w:r>
            <w:rPr>
              <w:rFonts w:ascii="Cambria" w:hAnsi="Cambria" w:eastAsia="Cambria" w:cs="Cambria"/>
              <w:b/>
              <w:i w:val="0"/>
              <w:color w:val="000000"/>
              <w:sz w:val="15"/>
            </w:rPr>
            <w:t>EMS-GOV-003</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eastAsia="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Cambria" w:hAnsi="Cambria" w:eastAsia="Cambria"/>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Cambria" w:hAnsi="Cambria" w:eastAsia="Cambria"/>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eastAsia="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Environmental Policy, Objectives &amp; Indicators Guidance</dc:title>
  <dc:subject>Practical guidance for environmental policy, objectives, indicators and action planning.</dc:subject>
  <dc:creator>ISO Toolkits</dc:creator>
  <cp:keywords>ISO 14001:2026; environmental management system; EMS; Environmental Policy, Objectives &amp; Indicators Guidance</cp:keywords>
  <dc:description>ISO Toolkits practical template. www.iso-toolkits.org | info@iso-toolkits.org</dc:description>
  <cp:lastModifiedBy/>
  <cp:revision>1</cp:revision>
  <dcterms:created xsi:type="dcterms:W3CDTF">2013-12-23T23:15:00Z</dcterms:created>
  <dcterms:modified xsi:type="dcterms:W3CDTF">2013-12-23T23:15:00Z</dcterms:modified>
  <cp:category/>
</cp:coreProperties>
</file>