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pStyle w:val="Title"/>
        <w:jc w:val="left"/>
      </w:pPr>
      <w:r>
        <w:rPr>
          <w:rFonts w:ascii="Cambria" w:hAnsi="Cambria" w:eastAsia="Cambria" w:cs="Cambria"/>
          <w:b/>
          <w:i w:val="0"/>
          <w:color w:val="1F4E79"/>
          <w:sz w:val="40"/>
        </w:rPr>
        <w:t>ENVIRONMENTAL MANAGEMENT SYSTEM GUIDANCE</w:t>
      </w:r>
    </w:p>
    <w:p>
      <w:pPr>
        <w:spacing w:before="0" w:after="160" w:line="252" w:lineRule="auto"/>
      </w:pPr>
      <w:r>
        <w:rPr>
          <w:rFonts w:ascii="Cambria" w:hAnsi="Cambria" w:eastAsia="Cambria" w:cs="Cambria"/>
          <w:b/>
          <w:i w:val="0"/>
          <w:color w:val="000000"/>
          <w:sz w:val="22"/>
        </w:rPr>
        <w:t>ISO 14001:2026</w:t>
      </w:r>
    </w:p>
    <w:tbl>
      <w:tblPr>
        <w:tblW w:type="auto" w:w="0"/>
        <w:jc w:val="center"/>
        <w:tblLayout w:type="fixed"/>
        <w:tblLook w:val="04A0"/>
      </w:tblPr>
      <w:tblGrid>
        <w:gridCol w:w="2339"/>
        <w:gridCol w:w="2339"/>
        <w:gridCol w:w="2339"/>
        <w:gridCol w:w="2339"/>
      </w:tblGrid>
      <w:tr>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Document Owner</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Approver</w:t>
            </w:r>
          </w:p>
        </w:tc>
        <w:tc>
          <w:tcPr>
            <w:tcW w:type="dxa" w:w="31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r>
      <w:tr>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Classification</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INTERNAL</w:t>
            </w:r>
          </w:p>
        </w:tc>
        <w:tc>
          <w:tcPr>
            <w:tcW w:type="dxa" w:w="153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r/>
            <w:r>
              <w:rPr>
                <w:rFonts w:ascii="Cambria" w:hAnsi="Cambria" w:eastAsia="Cambria" w:cs="Cambria"/>
                <w:b/>
                <w:i w:val="0"/>
                <w:color w:val="000000"/>
                <w:sz w:val="17"/>
              </w:rPr>
              <w:t>Next Review</w:t>
            </w:r>
          </w:p>
        </w:tc>
        <w:tc>
          <w:tcPr>
            <w:tcW w:type="dxa" w:w="31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2027-09-18</w:t>
            </w:r>
          </w:p>
        </w:tc>
      </w:tr>
    </w:tbl>
    <w:p/>
    <w:p>
      <w:pPr>
        <w:pStyle w:val="Heading1"/>
      </w:pPr>
      <w:r>
        <w:rPr>
          <w:rFonts w:ascii="Cambria" w:hAnsi="Cambria" w:eastAsia="Cambria" w:cs="Cambria"/>
          <w:b/>
          <w:i w:val="0"/>
          <w:color w:val="1F4E79"/>
          <w:sz w:val="25"/>
        </w:rPr>
        <w:t>1. Purpose and Use</w:t>
      </w:r>
    </w:p>
    <w:p>
      <w:pPr>
        <w:spacing w:before="0" w:after="80" w:line="252" w:lineRule="auto"/>
      </w:pPr>
      <w:r>
        <w:rPr>
          <w:rFonts w:ascii="Cambria" w:hAnsi="Cambria" w:eastAsia="Cambria" w:cs="Cambria"/>
          <w:b w:val="0"/>
          <w:i w:val="0"/>
          <w:color w:val="000000"/>
          <w:sz w:val="20"/>
        </w:rPr>
        <w:t>Use this guidance to implement, operate and improve the EMS as a management system rather than a document set. It provides a practical operating model for leadership, environmental planning, operational control, performance evaluation and improvement.</w:t>
      </w:r>
    </w:p>
    <w:p>
      <w:pPr>
        <w:spacing w:before="0" w:after="80" w:line="252" w:lineRule="auto"/>
      </w:pPr>
      <w:r>
        <w:rPr>
          <w:rFonts w:ascii="Cambria" w:hAnsi="Cambria" w:eastAsia="Cambria" w:cs="Cambria"/>
          <w:b w:val="0"/>
          <w:i w:val="0"/>
          <w:color w:val="000000"/>
          <w:sz w:val="20"/>
        </w:rPr>
        <w:t>This guidance should be tailored to the organization’s scope, environmental aspects, compliance obligations, resources and business model. It is not a substitute for the licensed ISO 14001:2026 standard or jurisdiction-specific legal advice.</w:t>
      </w:r>
    </w:p>
    <w:p>
      <w:pPr>
        <w:pStyle w:val="Heading1"/>
      </w:pPr>
      <w:r>
        <w:rPr>
          <w:rFonts w:ascii="Cambria" w:hAnsi="Cambria" w:eastAsia="Cambria" w:cs="Cambria"/>
          <w:b/>
          <w:i w:val="0"/>
          <w:color w:val="1F4E79"/>
          <w:sz w:val="25"/>
        </w:rPr>
        <w:t>2. Practical EMS Operating Model</w:t>
      </w:r>
    </w:p>
    <w:tbl>
      <w:tblPr>
        <w:tblW w:type="auto" w:w="0"/>
        <w:jc w:val="center"/>
        <w:tblLayout w:type="fixed"/>
        <w:tblLook w:val="04A0"/>
      </w:tblPr>
      <w:tblGrid>
        <w:gridCol w:w="3118"/>
        <w:gridCol w:w="3118"/>
        <w:gridCol w:w="3118"/>
      </w:tblGrid>
      <w:tr>
        <w:trPr>
          <w:tblHeader w:val="true"/>
        </w:trP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Stage</w:t>
            </w:r>
          </w:p>
        </w:tc>
        <w:tc>
          <w:tcPr>
            <w:tcW w:type="dxa" w:w="39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Focus</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Evidence of Progress</w:t>
            </w:r>
          </w:p>
        </w:tc>
      </w:tr>
      <w:tr>
        <w:trPr>
          <w:cantSplit/>
        </w:trP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1. Foundation</w:t>
            </w:r>
          </w:p>
        </w:tc>
        <w:tc>
          <w:tcPr>
            <w:tcW w:type="dxa" w:w="39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Governance, scope, context, interested parties, gap analysis and EMS responsibilities.</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Approved scope, implementation plan, document map, gap/action plan</w:t>
            </w:r>
          </w:p>
        </w:tc>
      </w:tr>
      <w:tr>
        <w:trPr>
          <w:cantSplit/>
        </w:trP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2. Environmental planning baseline</w:t>
            </w:r>
          </w:p>
        </w:tc>
        <w:tc>
          <w:tcPr>
            <w:tcW w:type="dxa" w:w="39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Aspect/impact method, lifecycle perspective, significant aspects, compliance obligations, risks/opportunities and objectives.</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Current registers, significance results, objective/action plans</w:t>
            </w:r>
          </w:p>
        </w:tc>
      </w:tr>
      <w:tr>
        <w:trPr>
          <w:cantSplit/>
        </w:trP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3. Operational control</w:t>
            </w:r>
          </w:p>
        </w:tc>
        <w:tc>
          <w:tcPr>
            <w:tcW w:type="dxa" w:w="39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Operating criteria, change, procurement/supplier controls, site controls and emergency preparedness.</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Operational records, inspections, controls and drill evidence</w:t>
            </w:r>
          </w:p>
        </w:tc>
      </w:tr>
      <w:tr>
        <w:trPr>
          <w:cantSplit/>
        </w:trP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4. Support and evidence</w:t>
            </w:r>
          </w:p>
        </w:tc>
        <w:tc>
          <w:tcPr>
            <w:tcW w:type="dxa" w:w="39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Competence, awareness, communication, documented information and monitoring capability.</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Training, communications, controlled information and reliable data</w:t>
            </w:r>
          </w:p>
        </w:tc>
      </w:tr>
      <w:tr>
        <w:trPr>
          <w:cantSplit/>
        </w:trP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5. Performance and compliance</w:t>
            </w:r>
          </w:p>
        </w:tc>
        <w:tc>
          <w:tcPr>
            <w:tcW w:type="dxa" w:w="39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Monitoring, trend review, objective progress and evidence-based compliance evaluation.</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Performance dashboard/reviews and compliance-evaluation records</w:t>
            </w:r>
          </w:p>
        </w:tc>
      </w:tr>
      <w:tr>
        <w:trPr>
          <w:cantSplit/>
        </w:trP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6. Assurance and improvement</w:t>
            </w:r>
          </w:p>
        </w:tc>
        <w:tc>
          <w:tcPr>
            <w:tcW w:type="dxa" w:w="39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Internal audit, corrective action, management review and continual improvement.</w:t>
            </w:r>
          </w:p>
        </w:tc>
        <w:tc>
          <w:tcPr>
            <w:tcW w:type="dxa" w:w="37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Audit/report actions, management decisions and verified improvement</w:t>
            </w:r>
          </w:p>
        </w:tc>
      </w:tr>
    </w:tbl>
    <w:p>
      <w:pPr>
        <w:pStyle w:val="Heading1"/>
      </w:pPr>
      <w:r>
        <w:rPr>
          <w:rFonts w:ascii="Cambria" w:hAnsi="Cambria" w:eastAsia="Cambria" w:cs="Cambria"/>
          <w:b/>
          <w:i w:val="0"/>
          <w:color w:val="1F4E79"/>
          <w:sz w:val="25"/>
        </w:rPr>
        <w:t>3. Governance and Roles</w:t>
      </w:r>
    </w:p>
    <w:tbl>
      <w:tblPr>
        <w:tblW w:type="auto" w:w="0"/>
        <w:jc w:val="center"/>
        <w:tblLayout w:type="fixed"/>
        <w:tblLook w:val="04A0"/>
      </w:tblPr>
      <w:tblGrid>
        <w:gridCol w:w="4677"/>
        <w:gridCol w:w="4677"/>
      </w:tblGrid>
      <w:tr>
        <w:trPr>
          <w:tblHeader w:val="true"/>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Role</w:t>
            </w:r>
          </w:p>
        </w:tc>
        <w:tc>
          <w:tcPr>
            <w:tcW w:type="dxa" w:w="629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Practical Accountability</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c>
          <w:tcPr>
            <w:tcW w:type="dxa" w:w="629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Set direction, integrate EMS into business decisions, provide resources and act on performance/risks.</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629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Coordinate EMS planning, registers, compliance evaluation, performance review, audits and improvement.</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Process / Site Owners</w:t>
            </w:r>
          </w:p>
        </w:tc>
        <w:tc>
          <w:tcPr>
            <w:tcW w:type="dxa" w:w="629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Operate controls, maintain records, respond to changes and complete assigned actions.</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Procurement / Supplier Management</w:t>
            </w:r>
          </w:p>
        </w:tc>
        <w:tc>
          <w:tcPr>
            <w:tcW w:type="dxa" w:w="629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Apply relevant environmental requirements to external providers and purchasing decisions.</w:t>
            </w:r>
          </w:p>
        </w:tc>
      </w:tr>
      <w:tr>
        <w:trPr>
          <w:cantSplit/>
        </w:trPr>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Workers / Relevant Personnel</w:t>
            </w:r>
          </w:p>
        </w:tc>
        <w:tc>
          <w:tcPr>
            <w:tcW w:type="dxa" w:w="629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Follow controls, report issues, support monitoring and contribute operational knowledge.</w:t>
            </w:r>
          </w:p>
        </w:tc>
      </w:tr>
    </w:tbl>
    <w:p>
      <w:pPr>
        <w:pStyle w:val="Heading1"/>
      </w:pPr>
      <w:r>
        <w:rPr>
          <w:rFonts w:ascii="Cambria" w:hAnsi="Cambria" w:eastAsia="Cambria" w:cs="Cambria"/>
          <w:b/>
          <w:i w:val="0"/>
          <w:color w:val="1F4E79"/>
          <w:sz w:val="25"/>
        </w:rPr>
        <w:t>4. Build the Environmental Planning Baseline</w:t>
      </w:r>
    </w:p>
    <w:p>
      <w:pPr>
        <w:pStyle w:val="ListNumber"/>
        <w:spacing w:before="0" w:after="40" w:line="252" w:lineRule="auto"/>
      </w:pPr>
      <w:r>
        <w:rPr>
          <w:rFonts w:ascii="Cambria" w:hAnsi="Cambria" w:eastAsia="Cambria" w:cs="Cambria"/>
          <w:b w:val="0"/>
          <w:i w:val="0"/>
          <w:color w:val="000000"/>
          <w:sz w:val="20"/>
        </w:rPr>
        <w:t>Confirm the EMS scope and the processes/activities included.</w:t>
      </w:r>
    </w:p>
    <w:p>
      <w:pPr>
        <w:pStyle w:val="ListNumber"/>
        <w:spacing w:before="0" w:after="40" w:line="252" w:lineRule="auto"/>
      </w:pPr>
      <w:r>
        <w:rPr>
          <w:rFonts w:ascii="Cambria" w:hAnsi="Cambria" w:eastAsia="Cambria" w:cs="Cambria"/>
          <w:b w:val="0"/>
          <w:i w:val="0"/>
          <w:color w:val="000000"/>
          <w:sz w:val="20"/>
        </w:rPr>
        <w:t>Identify relevant context and interested parties, including relevant environmental conditions and external expectations.</w:t>
      </w:r>
    </w:p>
    <w:p>
      <w:pPr>
        <w:pStyle w:val="ListNumber"/>
        <w:spacing w:before="0" w:after="40" w:line="252" w:lineRule="auto"/>
      </w:pPr>
      <w:r>
        <w:rPr>
          <w:rFonts w:ascii="Cambria" w:hAnsi="Cambria" w:eastAsia="Cambria" w:cs="Cambria"/>
          <w:b w:val="0"/>
          <w:i w:val="0"/>
          <w:color w:val="000000"/>
          <w:sz w:val="20"/>
        </w:rPr>
        <w:t>Identify environmental aspects and impacts using an organization-defined significance method.</w:t>
      </w:r>
    </w:p>
    <w:p>
      <w:pPr>
        <w:pStyle w:val="ListNumber"/>
        <w:spacing w:before="0" w:after="40" w:line="252" w:lineRule="auto"/>
      </w:pPr>
      <w:r>
        <w:rPr>
          <w:rFonts w:ascii="Cambria" w:hAnsi="Cambria" w:eastAsia="Cambria" w:cs="Cambria"/>
          <w:b w:val="0"/>
          <w:i w:val="0"/>
          <w:color w:val="000000"/>
          <w:sz w:val="20"/>
        </w:rPr>
        <w:t>Apply a lifecycle perspective to stages the organization can control or influence.</w:t>
      </w:r>
    </w:p>
    <w:p>
      <w:pPr>
        <w:pStyle w:val="ListNumber"/>
        <w:spacing w:before="0" w:after="40" w:line="252" w:lineRule="auto"/>
      </w:pPr>
      <w:r>
        <w:rPr>
          <w:rFonts w:ascii="Cambria" w:hAnsi="Cambria" w:eastAsia="Cambria" w:cs="Cambria"/>
          <w:b w:val="0"/>
          <w:i w:val="0"/>
          <w:color w:val="000000"/>
          <w:sz w:val="20"/>
        </w:rPr>
        <w:t>Identify applicable compliance obligations from authoritative sources and assign ownership.</w:t>
      </w:r>
    </w:p>
    <w:p>
      <w:pPr>
        <w:pStyle w:val="ListNumber"/>
        <w:spacing w:before="0" w:after="40" w:line="252" w:lineRule="auto"/>
      </w:pPr>
      <w:r>
        <w:rPr>
          <w:rFonts w:ascii="Cambria" w:hAnsi="Cambria" w:eastAsia="Cambria" w:cs="Cambria"/>
          <w:b w:val="0"/>
          <w:i w:val="0"/>
          <w:color w:val="000000"/>
          <w:sz w:val="20"/>
        </w:rPr>
        <w:t>Identify EMS risks/opportunities and establish meaningful objectives, indicators and plans.</w:t>
      </w:r>
    </w:p>
    <w:p>
      <w:pPr>
        <w:pStyle w:val="Heading1"/>
      </w:pPr>
      <w:r>
        <w:rPr>
          <w:rFonts w:ascii="Cambria" w:hAnsi="Cambria" w:eastAsia="Cambria" w:cs="Cambria"/>
          <w:b/>
          <w:i w:val="0"/>
          <w:color w:val="1F4E79"/>
          <w:sz w:val="25"/>
        </w:rPr>
        <w:t>5. Make Operational Controls Observable</w:t>
      </w:r>
    </w:p>
    <w:p>
      <w:pPr>
        <w:spacing w:before="0" w:after="80" w:line="252" w:lineRule="auto"/>
      </w:pPr>
      <w:r>
        <w:rPr>
          <w:rFonts w:ascii="Cambria" w:hAnsi="Cambria" w:eastAsia="Cambria" w:cs="Cambria"/>
          <w:b w:val="0"/>
          <w:i w:val="0"/>
          <w:color w:val="000000"/>
          <w:sz w:val="20"/>
        </w:rPr>
        <w:t>For each significant aspect or material compliance obligation, define what “controlled” looks like in normal operation. Controls may include operating limits, work methods, engineering measures, maintenance, inspection, monitoring, competence, authorization, supplier requirements, containment, emergency arrangements or escalation rules.</w:t>
      </w:r>
    </w:p>
    <w:tbl>
      <w:tblPr>
        <w:tblW w:type="auto" w:w="0"/>
        <w:jc w:val="center"/>
        <w:tblLayout w:type="fixed"/>
        <w:tblLook w:val="04A0"/>
      </w:tblPr>
      <w:tblGrid>
        <w:gridCol w:w="3118"/>
        <w:gridCol w:w="3118"/>
        <w:gridCol w:w="3118"/>
      </w:tblGrid>
      <w:tr>
        <w:trPr>
          <w:tblHeader w:val="true"/>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Control Question</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Healthy Signal</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Warning Signal</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Is the operating criterion clear?</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People can state the required condition/limit and records show it is checked.</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Procedure exists but the actual operating limit or trigger is unclear.</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Does the control work in practice?</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Observation, monitoring and records are consistent.</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Documented control differs from actual practice.</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Is change managed?</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Environmental implications are reviewed before relevant changes.</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Aspect/control review happens only after problems occur.</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Are external providers controlled?</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Relevant environmental criteria appear in specifications, onboarding or oversight.</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Supplier expectations are generic and disconnected from environmental significance.</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Can failure be detected?</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Monitoring/inspection reveals drift and triggers action.</w:t>
            </w:r>
          </w:p>
        </w:tc>
        <w:tc>
          <w:tcPr>
            <w:tcW w:type="dxa" w:w="34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No defined trigger, review or escalation.</w:t>
            </w:r>
          </w:p>
        </w:tc>
      </w:tr>
    </w:tbl>
    <w:p>
      <w:pPr>
        <w:pStyle w:val="Heading1"/>
      </w:pPr>
      <w:r>
        <w:rPr>
          <w:rFonts w:ascii="Cambria" w:hAnsi="Cambria" w:eastAsia="Cambria" w:cs="Cambria"/>
          <w:b/>
          <w:i w:val="0"/>
          <w:color w:val="1F4E79"/>
          <w:sz w:val="25"/>
        </w:rPr>
        <w:t>6. Compliance Management</w:t>
      </w:r>
    </w:p>
    <w:p>
      <w:pPr>
        <w:spacing w:before="0" w:after="80" w:line="252" w:lineRule="auto"/>
      </w:pPr>
      <w:r>
        <w:rPr>
          <w:rFonts w:ascii="Cambria" w:hAnsi="Cambria" w:eastAsia="Cambria" w:cs="Cambria"/>
          <w:b w:val="0"/>
          <w:i w:val="0"/>
          <w:color w:val="000000"/>
          <w:sz w:val="20"/>
        </w:rPr>
        <w:t>Maintain a practical link between obligation, applicability, source, owner, operational control, evaluation method, evidence and follow-up. Do not use a “compliant” status unless the evidence and evaluation method are sufficient for the conclusion. Where jurisdiction or applicability is uncertain, record that uncertainty and assign verification rather than inventing a legal citation.</w:t>
      </w:r>
    </w:p>
    <w:p>
      <w:pPr>
        <w:pStyle w:val="Heading1"/>
      </w:pPr>
      <w:r>
        <w:rPr>
          <w:rFonts w:ascii="Cambria" w:hAnsi="Cambria" w:eastAsia="Cambria" w:cs="Cambria"/>
          <w:b/>
          <w:i w:val="0"/>
          <w:color w:val="1F4E79"/>
          <w:sz w:val="25"/>
        </w:rPr>
        <w:t>7. Performance Management</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Management Need</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Useful Evidence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Environmental performance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Trend data for significant aspects/objectives with context, baseline and decision triggers.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Control effectiveness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Inspection/monitoring results, exceptions, recurring issues and completed improvements.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Compliance assurance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Planned evaluations with objective evidence and actions for gaps.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Incident learning</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Cause, response, action closure and updates to aspects/controls where relevant.</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Management attention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Concise summary of exceptions, overdue high-priority actions, resource needs and decisions required.</w:t>
            </w:r>
          </w:p>
        </w:tc>
      </w:tr>
    </w:tbl>
    <w:p>
      <w:pPr>
        <w:pStyle w:val="Heading1"/>
      </w:pPr>
      <w:r>
        <w:rPr>
          <w:rFonts w:ascii="Cambria" w:hAnsi="Cambria" w:eastAsia="Cambria" w:cs="Cambria"/>
          <w:b/>
          <w:i w:val="0"/>
          <w:color w:val="1F4E79"/>
          <w:sz w:val="25"/>
        </w:rPr>
        <w:t>8. Audit, Review and Improvement</w:t>
      </w:r>
    </w:p>
    <w:p>
      <w:pPr>
        <w:spacing w:before="0" w:after="80" w:line="252" w:lineRule="auto"/>
      </w:pPr>
      <w:r>
        <w:rPr>
          <w:rFonts w:ascii="Cambria" w:hAnsi="Cambria" w:eastAsia="Cambria" w:cs="Cambria"/>
          <w:b w:val="0"/>
          <w:i w:val="0"/>
          <w:color w:val="000000"/>
          <w:sz w:val="20"/>
        </w:rPr>
        <w:t>Internal audits should follow risk-based process trails and test operation, not only document presence. Management review should convert performance, compliance, audit, incident, change and objective information into decisions on resources, priorities, changes and improvement. Corrective actions should be verified for completion and, where relevant, effectiveness before closure.</w:t>
      </w:r>
    </w:p>
    <w:p>
      <w:pPr>
        <w:pStyle w:val="Heading1"/>
      </w:pPr>
      <w:r>
        <w:rPr>
          <w:rFonts w:ascii="Cambria" w:hAnsi="Cambria" w:eastAsia="Cambria" w:cs="Cambria"/>
          <w:b/>
          <w:i w:val="0"/>
          <w:color w:val="1F4E79"/>
          <w:sz w:val="25"/>
        </w:rPr>
        <w:t>9. Suggested EMS Operating Rhythm</w:t>
      </w:r>
    </w:p>
    <w:tbl>
      <w:tblPr>
        <w:tblW w:type="auto" w:w="0"/>
        <w:jc w:val="center"/>
        <w:tblLayout w:type="fixed"/>
        <w:tblLook w:val="04A0"/>
      </w:tblPr>
      <w:tblGrid>
        <w:gridCol w:w="4677"/>
        <w:gridCol w:w="4677"/>
      </w:tblGrid>
      <w:tr>
        <w:trPr>
          <w:tblHeader w:val="true"/>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Cadence / Trigger</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Typical Activities</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Routine / Weekly</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Operate controls, complete inspections/monitoring, address deviations and maintain required records.</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Monthly</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 KPI trends, significant-aspect controls, incidents/complaints and overdue actions.</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Quarterly / Defined cycle</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 objectives, major projects, supplier/environmental-control performance and compliance-evaluation progress.</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Planned audit cycle</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Conduct risk-based internal audits and verify prior finding closure.</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Management review cycle</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 EMS suitability, adequacy, effectiveness, performance, compliance, resources, changes and improvement.</w:t>
            </w:r>
          </w:p>
        </w:tc>
      </w:tr>
      <w:tr>
        <w:trPr>
          <w:cantSplit/>
        </w:trPr>
        <w:tc>
          <w:tcPr>
            <w:tcW w:type="dxa" w:w="28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On significant change / event</w:t>
            </w:r>
          </w:p>
        </w:tc>
        <w:tc>
          <w:tcPr>
            <w:tcW w:type="dxa" w:w="651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Reassess context, aspects, obligations, controls, competence and emergency arrangements as relevant.</w:t>
            </w:r>
          </w:p>
        </w:tc>
      </w:tr>
    </w:tbl>
    <w:p>
      <w:pPr>
        <w:pStyle w:val="Heading1"/>
      </w:pPr>
      <w:r>
        <w:rPr>
          <w:rFonts w:ascii="Cambria" w:hAnsi="Cambria" w:eastAsia="Cambria" w:cs="Cambria"/>
          <w:b/>
          <w:i w:val="0"/>
          <w:color w:val="1F4E79"/>
          <w:sz w:val="25"/>
        </w:rPr>
        <w:t>10. Certification Readiness Check</w:t>
      </w:r>
    </w:p>
    <w:p>
      <w:pPr>
        <w:pStyle w:val="ListBullet"/>
        <w:spacing w:before="0" w:after="40" w:line="252" w:lineRule="auto"/>
      </w:pPr>
      <w:r>
        <w:rPr>
          <w:rFonts w:ascii="Cambria" w:hAnsi="Cambria" w:eastAsia="Cambria" w:cs="Cambria"/>
          <w:b w:val="0"/>
          <w:i w:val="0"/>
          <w:color w:val="000000"/>
          <w:sz w:val="20"/>
        </w:rPr>
        <w:t>EMS scope and process ownership are current and understood.</w:t>
      </w:r>
    </w:p>
    <w:p>
      <w:pPr>
        <w:pStyle w:val="ListBullet"/>
        <w:spacing w:before="0" w:after="40" w:line="252" w:lineRule="auto"/>
      </w:pPr>
      <w:r>
        <w:rPr>
          <w:rFonts w:ascii="Cambria" w:hAnsi="Cambria" w:eastAsia="Cambria" w:cs="Cambria"/>
          <w:b w:val="0"/>
          <w:i w:val="0"/>
          <w:color w:val="000000"/>
          <w:sz w:val="20"/>
        </w:rPr>
        <w:t>Significant aspects and compliance obligations have clear controls and evidence.</w:t>
      </w:r>
    </w:p>
    <w:p>
      <w:pPr>
        <w:pStyle w:val="ListBullet"/>
        <w:spacing w:before="0" w:after="40" w:line="252" w:lineRule="auto"/>
      </w:pPr>
      <w:r>
        <w:rPr>
          <w:rFonts w:ascii="Cambria" w:hAnsi="Cambria" w:eastAsia="Cambria" w:cs="Cambria"/>
          <w:b w:val="0"/>
          <w:i w:val="0"/>
          <w:color w:val="000000"/>
          <w:sz w:val="20"/>
        </w:rPr>
        <w:t>Environmental objectives have owners, progress evidence and management follow-up.</w:t>
      </w:r>
    </w:p>
    <w:p>
      <w:pPr>
        <w:pStyle w:val="ListBullet"/>
        <w:spacing w:before="0" w:after="40" w:line="252" w:lineRule="auto"/>
      </w:pPr>
      <w:r>
        <w:rPr>
          <w:rFonts w:ascii="Cambria" w:hAnsi="Cambria" w:eastAsia="Cambria" w:cs="Cambria"/>
          <w:b w:val="0"/>
          <w:i w:val="0"/>
          <w:color w:val="000000"/>
          <w:sz w:val="20"/>
        </w:rPr>
        <w:t>Monitoring data is traceable and suitable for decisions.</w:t>
      </w:r>
    </w:p>
    <w:p>
      <w:pPr>
        <w:pStyle w:val="ListBullet"/>
        <w:spacing w:before="0" w:after="40" w:line="252" w:lineRule="auto"/>
      </w:pPr>
      <w:r>
        <w:rPr>
          <w:rFonts w:ascii="Cambria" w:hAnsi="Cambria" w:eastAsia="Cambria" w:cs="Cambria"/>
          <w:b w:val="0"/>
          <w:i w:val="0"/>
          <w:color w:val="000000"/>
          <w:sz w:val="20"/>
        </w:rPr>
        <w:t>Compliance evaluation has been performed using objective evidence.</w:t>
      </w:r>
    </w:p>
    <w:p>
      <w:pPr>
        <w:pStyle w:val="ListBullet"/>
        <w:spacing w:before="0" w:after="40" w:line="252" w:lineRule="auto"/>
      </w:pPr>
      <w:r>
        <w:rPr>
          <w:rFonts w:ascii="Cambria" w:hAnsi="Cambria" w:eastAsia="Cambria" w:cs="Cambria"/>
          <w:b w:val="0"/>
          <w:i w:val="0"/>
          <w:color w:val="000000"/>
          <w:sz w:val="20"/>
        </w:rPr>
        <w:t>Internal audit and management review have been completed and material actions are controlled.</w:t>
      </w:r>
    </w:p>
    <w:p>
      <w:pPr>
        <w:pStyle w:val="ListBullet"/>
        <w:spacing w:before="0" w:after="40" w:line="252" w:lineRule="auto"/>
      </w:pPr>
      <w:r>
        <w:rPr>
          <w:rFonts w:ascii="Cambria" w:hAnsi="Cambria" w:eastAsia="Cambria" w:cs="Cambria"/>
          <w:b w:val="0"/>
          <w:i w:val="0"/>
          <w:color w:val="000000"/>
          <w:sz w:val="20"/>
        </w:rPr>
        <w:t>Personnel can explain relevant environmental responsibilities and controls in their work.</w:t>
      </w:r>
    </w:p>
    <w:p>
      <w:pPr>
        <w:pStyle w:val="ListBullet"/>
        <w:spacing w:before="0" w:after="40" w:line="252" w:lineRule="auto"/>
      </w:pPr>
      <w:r>
        <w:rPr>
          <w:rFonts w:ascii="Cambria" w:hAnsi="Cambria" w:eastAsia="Cambria" w:cs="Cambria"/>
          <w:b w:val="0"/>
          <w:i w:val="0"/>
          <w:color w:val="000000"/>
          <w:sz w:val="20"/>
        </w:rPr>
        <w:t>Examples/illustrative data in templates have been replaced or clearly separated from operational records.</w:t>
      </w:r>
    </w:p>
    <w:p>
      <w:pPr>
        <w:pStyle w:val="Heading1"/>
      </w:pPr>
      <w:r>
        <w:rPr>
          <w:rFonts w:ascii="Cambria" w:hAnsi="Cambria" w:eastAsia="Cambria" w:cs="Cambria"/>
          <w:b/>
          <w:i w:val="0"/>
          <w:color w:val="1F4E79"/>
          <w:sz w:val="25"/>
        </w:rPr>
        <w:t>11. Common Failure Modes to Avoid</w:t>
      </w:r>
    </w:p>
    <w:tbl>
      <w:tblPr>
        <w:tblW w:type="auto" w:w="0"/>
        <w:jc w:val="center"/>
        <w:tblLayout w:type="fixed"/>
        <w:tblLook w:val="04A0"/>
      </w:tblPr>
      <w:tblGrid>
        <w:gridCol w:w="4677"/>
        <w:gridCol w:w="4677"/>
      </w:tblGrid>
      <w:tr>
        <w:trPr>
          <w:tblHeader w:val="true"/>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Failure Mode</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6"/>
              </w:rPr>
              <w:t>Practical Correction</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EMS is treated as a document project.</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Test whether controls are operating and producing evidence in normal work.</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Aspect register is static.</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Reassess after material process, equipment, material, supplier or product changes.</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Compliance register has no evidence.</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Define evaluation method, evidence source, owner and planned review.</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Objectives are activity lists.</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Use measurable outcomes/indicators and decision triggers.</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Audits check documents only.</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Follow operational process trails and sample observation/interviews/records.</w:t>
            </w:r>
          </w:p>
        </w:tc>
      </w:tr>
      <w:tr>
        <w:trPr>
          <w:cantSplit/>
        </w:trPr>
        <w:tc>
          <w:tcPr>
            <w:tcW w:type="dxa" w:w="328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Management review is informational only.</w:t>
            </w:r>
          </w:p>
        </w:tc>
        <w:tc>
          <w:tcPr>
            <w:tcW w:type="dxa" w:w="606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6"/>
              </w:rPr>
              <w:t>Record decisions, resources, changes and accountable actions.</w:t>
            </w:r>
          </w:p>
        </w:tc>
      </w:tr>
    </w:tbl>
    <w:p>
      <w:pPr>
        <w:pStyle w:val="Heading1"/>
      </w:pPr>
      <w:r>
        <w:rPr>
          <w:rFonts w:ascii="Cambria" w:hAnsi="Cambria" w:eastAsia="Cambria" w:cs="Cambria"/>
          <w:b/>
          <w:i w:val="0"/>
          <w:color w:val="1F4E79"/>
          <w:sz w:val="25"/>
        </w:rPr>
        <w:t>12. References</w:t>
      </w:r>
    </w:p>
    <w:p>
      <w:pPr>
        <w:pStyle w:val="ListBullet"/>
        <w:spacing w:before="0" w:after="40" w:line="252" w:lineRule="auto"/>
      </w:pPr>
      <w:r>
        <w:rPr>
          <w:rFonts w:ascii="Cambria" w:hAnsi="Cambria" w:eastAsia="Cambria" w:cs="Cambria"/>
          <w:b w:val="0"/>
          <w:i w:val="0"/>
          <w:color w:val="000000"/>
          <w:sz w:val="20"/>
        </w:rPr>
        <w:t>ISO 14001:2026 - Environmental management systems - Requirements with guidance for use.</w:t>
      </w:r>
    </w:p>
    <w:p>
      <w:pPr>
        <w:pStyle w:val="Heading1"/>
      </w:pPr>
      <w:r>
        <w:rPr>
          <w:rFonts w:ascii="Cambria" w:hAnsi="Cambria" w:eastAsia="Cambria" w:cs="Cambria"/>
          <w:b/>
          <w:i w:val="0"/>
          <w:color w:val="1F4E79"/>
          <w:sz w:val="25"/>
        </w:rPr>
        <w:t>Approval and Revision</w:t>
      </w:r>
    </w:p>
    <w:tbl>
      <w:tblPr>
        <w:tblW w:type="auto" w:w="0"/>
        <w:jc w:val="center"/>
        <w:tblLayout w:type="fixed"/>
        <w:tblLook w:val="04A0"/>
      </w:tblPr>
      <w:tblGrid>
        <w:gridCol w:w="2339"/>
        <w:gridCol w:w="2339"/>
        <w:gridCol w:w="2339"/>
        <w:gridCol w:w="2339"/>
      </w:tblGrid>
      <w:tr>
        <w:trPr>
          <w:tblHeader w:val="true"/>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Role</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Name / Position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Approval / Signature</w:t>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Date</w:t>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Prepared / Maintained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EMS Manager / Environmental Manager</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[REVIEWER / FUNCTION]</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r>
        <w:trPr>
          <w:cantSplit/>
        </w:trPr>
        <w:tc>
          <w:tcPr>
            <w:tcW w:type="dxa" w:w="204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Approved by</w:t>
            </w:r>
          </w:p>
        </w:tc>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Top Management</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c>
          <w:tcPr>
            <w:tcW w:type="dxa" w:w="164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r>
          </w:p>
        </w:tc>
      </w:tr>
    </w:tbl>
    <w:p>
      <w:pPr>
        <w:pStyle w:val="Heading2"/>
      </w:pPr>
      <w:r>
        <w:rPr>
          <w:rFonts w:ascii="Cambria" w:hAnsi="Cambria" w:eastAsia="Cambria" w:cs="Cambria"/>
          <w:b/>
          <w:i w:val="0"/>
          <w:color w:val="000000"/>
          <w:sz w:val="22"/>
        </w:rPr>
        <w:t>Revision History</w:t>
      </w:r>
    </w:p>
    <w:tbl>
      <w:tblPr>
        <w:tblW w:type="auto" w:w="0"/>
        <w:jc w:val="center"/>
        <w:tblLayout w:type="fixed"/>
        <w:tblLook w:val="04A0"/>
      </w:tblPr>
      <w:tblGrid>
        <w:gridCol w:w="3118"/>
        <w:gridCol w:w="3118"/>
        <w:gridCol w:w="3118"/>
      </w:tblGrid>
      <w:tr>
        <w:trPr>
          <w:tblHeader w:val="true"/>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Version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Date</w:t>
            </w:r>
          </w:p>
        </w:tc>
        <w:tc>
          <w:tcPr>
            <w:tcW w:type="dxa" w:w="59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70" w:type="dxa"/>
              <w:left w:w="90" w:type="dxa"/>
              <w:bottom w:w="70" w:type="dxa"/>
              <w:right w:w="90" w:type="dxa"/>
            </w:tcMar>
          </w:tcPr>
          <w:p>
            <w:pPr>
              <w:jc w:val="center"/>
            </w:pPr>
            <w:r/>
            <w:r>
              <w:rPr>
                <w:rFonts w:ascii="Cambria" w:hAnsi="Cambria" w:eastAsia="Cambria" w:cs="Cambria"/>
                <w:b/>
                <w:i w:val="0"/>
                <w:color w:val="000000"/>
                <w:sz w:val="17"/>
              </w:rPr>
              <w:t>Description</w:t>
            </w:r>
          </w:p>
        </w:tc>
      </w:tr>
      <w:tr>
        <w:trPr>
          <w:cantSplit/>
        </w:trPr>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1.0</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2026-09-18</w:t>
            </w:r>
          </w:p>
        </w:tc>
        <w:tc>
          <w:tcPr>
            <w:tcW w:type="dxa" w:w="595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70" w:type="dxa"/>
              <w:left w:w="90" w:type="dxa"/>
              <w:bottom w:w="70" w:type="dxa"/>
              <w:right w:w="90" w:type="dxa"/>
            </w:tcMar>
          </w:tcPr>
          <w:p>
            <w:r/>
            <w:r>
              <w:rPr>
                <w:rFonts w:ascii="Cambria" w:hAnsi="Cambria" w:eastAsia="Cambria" w:cs="Cambria"/>
                <w:b w:val="0"/>
                <w:i w:val="0"/>
                <w:color w:val="000000"/>
                <w:sz w:val="17"/>
              </w:rPr>
              <w:t>Initial issue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before="0" w:after="20" w:line="252" w:lineRule="auto"/>
      <w:jc w:val="center"/>
    </w:pPr>
    <w:r>
      <w:rPr>
        <w:rFonts w:ascii="Cambria" w:hAnsi="Cambria" w:eastAsia="Cambria" w:cs="Cambria"/>
        <w:b w:val="0"/>
        <w:i w:val="0"/>
        <w:color w:val="666666"/>
        <w:sz w:val="16"/>
      </w:rPr>
      <w:t>Copyright © ISO Toolkits | www.iso-toolkits.org | info@iso-toolkits.org</w:t>
    </w:r>
  </w:p>
  <w:p>
    <w:pPr>
      <w:spacing w:before="0" w:after="0" w:line="252" w:lineRule="auto"/>
      <w:jc w:val="center"/>
    </w:pPr>
    <w:r>
      <w:rPr>
        <w:rFonts w:ascii="Cambria" w:hAnsi="Cambria" w:eastAsia="Cambria" w:cs="Cambria"/>
        <w:b w:val="0"/>
        <w:i w:val="0"/>
        <w:color w:val="666666"/>
        <w:sz w:val="16"/>
      </w:rPr>
      <w:t xml:space="preserve">CONTROLLED DOCUMENT | INTERNAL | Page </w:t>
    </w:r>
    <w:r>
      <w:rPr>
        <w:rFonts w:ascii="Cambria" w:hAnsi="Cambria" w:eastAsia="Cambria" w:cs="Cambria"/>
        <w:b w:val="0"/>
        <w:i w:val="0"/>
        <w:color w:val="666666"/>
        <w:sz w:val="16"/>
      </w:rPr>
      <w:fldChar w:fldCharType="begin"/>
      <w:instrText xml:space="preserve"> PAGE </w:instrText>
      <w:fldChar w:fldCharType="separate"/>
      <w:t>1</w:t>
      <w:fldChar w:fldCharType="end"/>
    </w:r>
    <w:r>
      <w:rPr>
        <w:rFonts w:ascii="Cambria" w:hAnsi="Cambria" w:eastAsia="Cambria" w:cs="Cambria"/>
        <w:b w:val="0"/>
        <w:i w:val="0"/>
        <w:color w:val="666666"/>
        <w:sz w:val="16"/>
      </w:rPr>
      <w:t xml:space="preserve"> of </w:t>
    </w:r>
    <w:r>
      <w:rPr>
        <w:rFonts w:ascii="Cambria" w:hAnsi="Cambria" w:eastAsia="Cambria" w:cs="Cambria"/>
        <w:b w:val="0"/>
        <w:i w:val="0"/>
        <w:color w:val="666666"/>
        <w:sz w:val="16"/>
      </w:rPr>
      <w:fldChar w:fldCharType="begin"/>
      <w:instrText xml:space="preserve"> NUMPAGES </w:instrText>
      <w:fldChar w:fldCharType="separate"/>
      <w:t>1</w:t>
      <w:fldChar w:fldCharType="end"/>
    </w:r>
  </w:p>
</w:ftr>
</file>

<file path=word/header1.xml><?xml version="1.0" encoding="utf-8"?>
<w:hdr xmlns:w="http://schemas.openxmlformats.org/wordprocessingml/2006/main">
  <w:p>
    <w:pPr>
      <w:pStyle w:val="Header"/>
      <w:spacing w:after="0"/>
    </w:pPr>
    <w:r/>
  </w:p>
  <w:tbl>
    <w:tblPr>
      <w:tblW w:type="auto" w:w="0"/>
      <w:jc w:val="center"/>
      <w:tblLook w:val="04A0"/>
    </w:tblPr>
    <w:tblGrid>
      <w:gridCol w:w="3118"/>
      <w:gridCol w:w="3118"/>
      <w:gridCol w:w="3118"/>
    </w:tblGrid>
    <w:tr>
      <w:tc>
        <w:tcPr>
          <w:tcW w:type="dxa" w:w="1814"/>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F2F2F2" w:val="clear"/>
          <w:tcMar>
            <w:top w:w="50" w:type="dxa"/>
            <w:left w:w="70" w:type="dxa"/>
            <w:bottom w:w="50" w:type="dxa"/>
            <w:right w:w="70" w:type="dxa"/>
          </w:tcMar>
          <w:vAlign w:val="center"/>
        </w:tcPr>
        <w:p>
          <w:pPr>
            <w:jc w:val="center"/>
          </w:pPr>
          <w:r>
            <w:rPr>
              <w:rFonts w:ascii="Cambria" w:hAnsi="Cambria" w:eastAsia="Cambria" w:cs="Cambria"/>
              <w:b/>
              <w:i w:val="0"/>
              <w:color w:val="666666"/>
              <w:sz w:val="15"/>
            </w:rPr>
            <w:t>ORGANIZATION</w:t>
            <w:br/>
            <w:t>LOGO</w:t>
          </w:r>
        </w:p>
      </w:tc>
      <w:tc>
        <w:tcPr>
          <w:tcW w:type="dxa" w:w="5215"/>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EAF3F8" w:val="clear"/>
          <w:tcMar>
            <w:top w:w="50" w:type="dxa"/>
            <w:left w:w="70" w:type="dxa"/>
            <w:bottom w:w="50" w:type="dxa"/>
            <w:right w:w="70" w:type="dxa"/>
          </w:tcMar>
          <w:vAlign w:val="center"/>
        </w:tcPr>
        <w:p>
          <w:pPr>
            <w:jc w:val="center"/>
          </w:pPr>
          <w:r>
            <w:rPr>
              <w:rFonts w:ascii="Cambria" w:hAnsi="Cambria" w:eastAsia="Cambria" w:cs="Cambria"/>
              <w:b/>
              <w:i w:val="0"/>
              <w:color w:val="1F4E79"/>
              <w:sz w:val="17"/>
            </w:rPr>
            <w:t>[ORGANIZATION NAME]</w:t>
            <w:br/>
            <w:t>Environmental Management System Guidance</w:t>
          </w:r>
        </w:p>
      </w:tc>
      <w:tc>
        <w:tcPr>
          <w:tcW w:type="dxa" w:w="2324"/>
          <w:tcBorders>
            <w:top w:val="single" w:sz="3" w:space="0" w:color="B7C9D6"/>
            <w:left w:val="single" w:sz="3" w:space="0" w:color="B7C9D6"/>
            <w:bottom w:val="single" w:sz="3" w:space="0" w:color="B7C9D6"/>
            <w:right w:val="single" w:sz="3" w:space="0" w:color="B7C9D6"/>
            <w:insideH w:val="single" w:sz="3" w:space="0" w:color="B7C9D6"/>
            <w:insideV w:val="single" w:sz="3" w:space="0" w:color="B7C9D6"/>
          </w:tcBorders>
          <w:shd w:fill="F2F2F2" w:val="clear"/>
          <w:tcMar>
            <w:top w:w="50" w:type="dxa"/>
            <w:left w:w="70" w:type="dxa"/>
            <w:bottom w:w="50" w:type="dxa"/>
            <w:right w:w="70" w:type="dxa"/>
          </w:tcMar>
          <w:vAlign w:val="center"/>
        </w:tcPr>
        <w:p>
          <w:pPr>
            <w:jc w:val="center"/>
          </w:pPr>
          <w:r>
            <w:rPr>
              <w:rFonts w:ascii="Cambria" w:hAnsi="Cambria" w:eastAsia="Cambria" w:cs="Cambria"/>
              <w:b/>
              <w:i w:val="0"/>
              <w:color w:val="000000"/>
              <w:sz w:val="15"/>
            </w:rPr>
            <w:t>EMS-GOV-006</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Cambria" w:hAnsi="Cambria" w:eastAsia="Cambria"/>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Cambria" w:hAnsi="Cambria" w:eastAsia="Cambria"/>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eastAsia="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Environmental Management System Guidance</dc:title>
  <dc:subject>Practical operating and implementation guidance for an Environmental Management System.</dc:subject>
  <dc:creator>ISO Toolkits</dc:creator>
  <cp:keywords>ISO 14001:2026; environmental management system; EMS; Environmental Management System Guidance</cp:keywords>
  <dc:description>ISO Toolkits practical template. www.iso-toolkits.org | info@iso-toolkits.org</dc:description>
  <cp:lastModifiedBy/>
  <cp:revision>1</cp:revision>
  <dcterms:created xsi:type="dcterms:W3CDTF">2013-12-23T23:15:00Z</dcterms:created>
  <dcterms:modified xsi:type="dcterms:W3CDTF">2013-12-23T23:15:00Z</dcterms:modified>
  <cp:category/>
</cp:coreProperties>
</file>