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pStyle w:val="Title"/>
        <w:jc w:val="left"/>
      </w:pPr>
      <w:r>
        <w:rPr>
          <w:rFonts w:ascii="Cambria" w:hAnsi="Cambria" w:eastAsia="Cambria" w:cs="Cambria"/>
          <w:b/>
          <w:color w:val="1F4E79"/>
          <w:sz w:val="40"/>
        </w:rPr>
        <w:t>ENVIRONMENTAL MANAGEMENT REVIEW GUIDANCE</w:t>
      </w:r>
    </w:p>
    <w:p>
      <w:pPr>
        <w:spacing w:after="160"/>
      </w:pPr>
      <w:r>
        <w:rPr>
          <w:rFonts w:ascii="Cambria" w:hAnsi="Cambria" w:eastAsia="Cambria" w:cs="Cambria"/>
          <w:b/>
          <w:sz w:val="22"/>
        </w:rPr>
        <w:t>ISO 14001:2026</w:t>
      </w:r>
    </w:p>
    <w:tbl>
      <w:tblPr>
        <w:tblStyle w:val="TableGrid"/>
        <w:tblW w:type="auto" w:w="0"/>
        <w:jc w:val="center"/>
        <w:tblLayout w:type="fixed"/>
        <w:tblLook w:val="04A0"/>
      </w:tblPr>
      <w:tblGrid>
        <w:gridCol w:w="2339"/>
        <w:gridCol w:w="2339"/>
        <w:gridCol w:w="2339"/>
        <w:gridCol w:w="2339"/>
      </w:tblGrid>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Document Owner</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Environmental Manager</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Approver</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Top Management</w:t>
            </w:r>
          </w:p>
        </w:tc>
      </w:tr>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Classification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INTERNAL</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Next Review</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2027-09-18</w:t>
            </w:r>
          </w:p>
        </w:tc>
      </w:tr>
    </w:tbl>
    <w:p>
      <w:pPr>
        <w:pStyle w:val="SmallNote"/>
      </w:pPr>
      <w:r>
        <w:t>Built using Word 2007-compatible OOXML rules. Replace bracketed organization fields before controlled use.</w:t>
      </w:r>
    </w:p>
    <w:p>
      <w:pPr>
        <w:pStyle w:val="Heading1"/>
      </w:pPr>
      <w:r>
        <w:t>1. Purpose and Use</w:t>
      </w:r>
    </w:p>
    <w:p>
      <w:r>
        <w:rPr>
          <w:rFonts w:ascii="Cambria" w:hAnsi="Cambria" w:eastAsia="Cambria" w:cs="Cambria"/>
          <w:sz w:val="20"/>
        </w:rPr>
        <w:t>Use this guidance to prepare and facilitate an EMS management review that supports real management decisions rather than a compliance presentation. Focus management time on material environmental change, performance, compliance evidence, significant aspects, recurring issues, resources and improvement priorities.</w:t>
      </w:r>
    </w:p>
    <w:p>
      <w:pPr>
        <w:pStyle w:val="Heading1"/>
      </w:pPr>
      <w:r>
        <w:t>2. What a Good Management Review Produces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Clear management conclusions on EMS suitability, adequacy and effectiveness.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Decisions on significant environmental priorities, objectives, controls, policy or scope where needed.</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Decisions on material compliance-evaluation gaps or obligation changes based on verified sources.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Approved resources or escalation for capability/operational-control gaps.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A short list of accountable actions with owners, due dates and expected outputs.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Evidence that previous management decisions were followed through.</w:t>
      </w:r>
    </w:p>
    <w:p>
      <w:pPr>
        <w:pStyle w:val="Heading1"/>
      </w:pPr>
      <w:r>
        <w:t>3. Prepare Decision-Oriented Inputs</w:t>
      </w:r>
    </w:p>
    <w:tbl>
      <w:tblPr>
        <w:tblStyle w:val="TableGrid"/>
        <w:tblW w:type="auto" w:w="0"/>
        <w:jc w:val="center"/>
        <w:tblLayout w:type="fixed"/>
        <w:tblLook w:val="04A0"/>
      </w:tblPr>
      <w:tblGrid>
        <w:gridCol w:w="3118"/>
        <w:gridCol w:w="3118"/>
        <w:gridCol w:w="3118"/>
      </w:tblGrid>
      <w:tr>
        <w:trPr>
          <w:cantSplit/>
          <w:tblHeader w:val="true"/>
        </w:trPr>
        <w:tc>
          <w:tcPr>
            <w:tcW w:type="dxa" w:w="238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Input</w:t>
            </w:r>
          </w:p>
        </w:tc>
        <w:tc>
          <w:tcPr>
            <w:tcW w:type="dxa" w:w="4309"/>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Bring to the Review</w:t>
            </w:r>
          </w:p>
        </w:tc>
        <w:tc>
          <w:tcPr>
            <w:tcW w:type="dxa" w:w="2665"/>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6"/>
              </w:rPr>
              <w:t>Avoid</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Objectives / indicators</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Trend, target, exceptions, cause/impact and proposed decision/action.</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Pages of raw metrics without interpretation.</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Significant aspects / risks</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Material changes, high-significance conditions, current controls, unresolved actions and decision requests.</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Reading the full aspects register.</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Compliance obligations / evaluation</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Verified material changes, evaluation results, evidence gaps and proposed response.</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Unverified legal summaries or assumptions.</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Incidents / complaints</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Material events, trends, lessons, unresolved actions and control implications.</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Chronology without management relevance.</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Audit / corrective action</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Significant findings, recurrence, overdue actions, effectiveness and systemic themes.</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Listing every observation equally.</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Environmental performance</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Key monitoring trends, operational exceptions and data limitations.</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Large data tables without conclusions.</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Resources / competence</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Specific capacity, skill, equipment or budget gap linked to objectives/control performance.</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Generic requests not tied to outcomes.</w:t>
            </w:r>
          </w:p>
        </w:tc>
      </w:tr>
      <w:tr>
        <w:trPr>
          <w:cantSplit/>
        </w:trPr>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6"/>
              </w:rPr>
              <w:t>Context / change</w:t>
            </w:r>
          </w:p>
        </w:tc>
        <w:tc>
          <w:tcPr>
            <w:tcW w:type="dxa" w:w="4309"/>
            <w:tcMar>
              <w:top w:w="70" w:type="dxa"/>
              <w:left w:w="90" w:type="dxa"/>
              <w:bottom w:w="70" w:type="dxa"/>
              <w:right w:w="90" w:type="dxa"/>
            </w:tcMar>
            <w:vAlign w:val="top"/>
          </w:tcPr>
          <w:p>
            <w:pPr>
              <w:spacing w:after="0" w:before="0"/>
            </w:pPr>
            <w:r/>
            <w:r>
              <w:rPr>
                <w:rFonts w:ascii="Cambria" w:hAnsi="Cambria" w:eastAsia="Cambria" w:cs="Cambria"/>
                <w:color w:val="000000"/>
                <w:sz w:val="16"/>
              </w:rPr>
              <w:t>Material changes in business, sites, activities, stakeholders or relevant environmental conditions.</w:t>
            </w:r>
          </w:p>
        </w:tc>
        <w:tc>
          <w:tcPr>
            <w:tcW w:type="dxa" w:w="2665"/>
            <w:tcMar>
              <w:top w:w="70" w:type="dxa"/>
              <w:left w:w="90" w:type="dxa"/>
              <w:bottom w:w="70" w:type="dxa"/>
              <w:right w:w="90" w:type="dxa"/>
            </w:tcMar>
            <w:vAlign w:val="top"/>
          </w:tcPr>
          <w:p>
            <w:pPr>
              <w:spacing w:after="0" w:before="0"/>
            </w:pPr>
            <w:r/>
            <w:r>
              <w:rPr>
                <w:rFonts w:ascii="Cambria" w:hAnsi="Cambria" w:eastAsia="Cambria" w:cs="Cambria"/>
                <w:color w:val="000000"/>
                <w:sz w:val="16"/>
              </w:rPr>
              <w:t>Repeating unchanged background information.</w:t>
            </w:r>
          </w:p>
        </w:tc>
      </w:tr>
    </w:tbl>
    <w:p>
      <w:pPr>
        <w:pStyle w:val="Heading1"/>
      </w:pPr>
      <w:r>
        <w:t>4. Use an Evidence Pack, Not a Slide Dump</w:t>
      </w:r>
    </w:p>
    <w:p>
      <w:r>
        <w:rPr>
          <w:rFonts w:ascii="Cambria" w:hAnsi="Cambria" w:eastAsia="Cambria" w:cs="Cambria"/>
          <w:sz w:val="20"/>
        </w:rPr>
        <w:t>For each material topic, management should be able to see the current position, why it matters, what has been done, what remains uncertain and what decision is required. Put detailed registers behind the summary as supporting evidence rather than reading them line by line.</w:t>
      </w:r>
    </w:p>
    <w:tbl>
      <w:tblPr>
        <w:tblStyle w:val="TableGrid"/>
        <w:tblW w:type="auto" w:w="0"/>
        <w:jc w:val="center"/>
        <w:tblLayout w:type="fixed"/>
        <w:tblLook w:val="04A0"/>
      </w:tblPr>
      <w:tblGrid>
        <w:gridCol w:w="4677"/>
        <w:gridCol w:w="4677"/>
      </w:tblGrid>
      <w:tr>
        <w:trPr>
          <w:cantSplit/>
          <w:tblHeader w:val="true"/>
        </w:trPr>
        <w:tc>
          <w:tcPr>
            <w:tcW w:type="dxa" w:w="328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For Each Material Topic</w:t>
            </w:r>
          </w:p>
        </w:tc>
        <w:tc>
          <w:tcPr>
            <w:tcW w:type="dxa" w:w="6066"/>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Example Structure</w:t>
            </w:r>
          </w:p>
        </w:tc>
      </w:tr>
      <w:tr>
        <w:trPr>
          <w:cantSplit/>
        </w:trPr>
        <w:tc>
          <w:tcPr>
            <w:tcW w:type="dxa" w:w="3288"/>
            <w:tcMar>
              <w:top w:w="70" w:type="dxa"/>
              <w:left w:w="90" w:type="dxa"/>
              <w:bottom w:w="70" w:type="dxa"/>
              <w:right w:w="90" w:type="dxa"/>
            </w:tcMar>
            <w:vAlign w:val="top"/>
          </w:tcPr>
          <w:p>
            <w:pPr>
              <w:spacing w:after="0" w:before="0"/>
            </w:pPr>
            <w:r/>
            <w:r>
              <w:rPr>
                <w:rFonts w:ascii="Cambria" w:hAnsi="Cambria" w:eastAsia="Cambria" w:cs="Cambria"/>
                <w:color w:val="000000"/>
                <w:sz w:val="17"/>
              </w:rPr>
              <w:t>Current position</w:t>
            </w:r>
          </w:p>
        </w:tc>
        <w:tc>
          <w:tcPr>
            <w:tcW w:type="dxa" w:w="6066"/>
            <w:tcMar>
              <w:top w:w="70" w:type="dxa"/>
              <w:left w:w="90" w:type="dxa"/>
              <w:bottom w:w="70" w:type="dxa"/>
              <w:right w:w="90" w:type="dxa"/>
            </w:tcMar>
            <w:vAlign w:val="top"/>
          </w:tcPr>
          <w:p>
            <w:pPr>
              <w:spacing w:after="0" w:before="0"/>
            </w:pPr>
            <w:r/>
            <w:r>
              <w:rPr>
                <w:rFonts w:ascii="Cambria" w:hAnsi="Cambria" w:eastAsia="Cambria" w:cs="Cambria"/>
                <w:color w:val="000000"/>
                <w:sz w:val="17"/>
              </w:rPr>
              <w:t>“Two high-priority audit actions are overdue and one affects a significant operational control.”</w:t>
            </w:r>
          </w:p>
        </w:tc>
      </w:tr>
      <w:tr>
        <w:trPr>
          <w:cantSplit/>
        </w:trPr>
        <w:tc>
          <w:tcPr>
            <w:tcW w:type="dxa" w:w="3288"/>
            <w:tcMar>
              <w:top w:w="70" w:type="dxa"/>
              <w:left w:w="90" w:type="dxa"/>
              <w:bottom w:w="70" w:type="dxa"/>
              <w:right w:w="90" w:type="dxa"/>
            </w:tcMar>
            <w:vAlign w:val="top"/>
          </w:tcPr>
          <w:p>
            <w:pPr>
              <w:spacing w:after="0" w:before="0"/>
            </w:pPr>
            <w:r/>
            <w:r>
              <w:rPr>
                <w:rFonts w:ascii="Cambria" w:hAnsi="Cambria" w:eastAsia="Cambria" w:cs="Cambria"/>
                <w:color w:val="000000"/>
                <w:sz w:val="17"/>
              </w:rPr>
              <w:t>Why it matters</w:t>
            </w:r>
          </w:p>
        </w:tc>
        <w:tc>
          <w:tcPr>
            <w:tcW w:type="dxa" w:w="6066"/>
            <w:tcMar>
              <w:top w:w="70" w:type="dxa"/>
              <w:left w:w="90" w:type="dxa"/>
              <w:bottom w:w="70" w:type="dxa"/>
              <w:right w:w="90" w:type="dxa"/>
            </w:tcMar>
            <w:vAlign w:val="top"/>
          </w:tcPr>
          <w:p>
            <w:pPr>
              <w:spacing w:after="0" w:before="0"/>
            </w:pPr>
            <w:r/>
            <w:r>
              <w:rPr>
                <w:rFonts w:ascii="Cambria" w:hAnsi="Cambria" w:eastAsia="Cambria" w:cs="Cambria"/>
                <w:color w:val="000000"/>
                <w:sz w:val="17"/>
              </w:rPr>
              <w:t>“The unresolved condition could reduce confidence in control effectiveness and evidence used for compliance evaluation.”</w:t>
            </w:r>
          </w:p>
        </w:tc>
      </w:tr>
      <w:tr>
        <w:trPr>
          <w:cantSplit/>
        </w:trPr>
        <w:tc>
          <w:tcPr>
            <w:tcW w:type="dxa" w:w="3288"/>
            <w:tcMar>
              <w:top w:w="70" w:type="dxa"/>
              <w:left w:w="90" w:type="dxa"/>
              <w:bottom w:w="70" w:type="dxa"/>
              <w:right w:w="90" w:type="dxa"/>
            </w:tcMar>
            <w:vAlign w:val="top"/>
          </w:tcPr>
          <w:p>
            <w:pPr>
              <w:spacing w:after="0" w:before="0"/>
            </w:pPr>
            <w:r/>
            <w:r>
              <w:rPr>
                <w:rFonts w:ascii="Cambria" w:hAnsi="Cambria" w:eastAsia="Cambria" w:cs="Cambria"/>
                <w:color w:val="000000"/>
                <w:sz w:val="17"/>
              </w:rPr>
              <w:t>What has been done</w:t>
            </w:r>
          </w:p>
        </w:tc>
        <w:tc>
          <w:tcPr>
            <w:tcW w:type="dxa" w:w="6066"/>
            <w:tcMar>
              <w:top w:w="70" w:type="dxa"/>
              <w:left w:w="90" w:type="dxa"/>
              <w:bottom w:w="70" w:type="dxa"/>
              <w:right w:w="90" w:type="dxa"/>
            </w:tcMar>
            <w:vAlign w:val="top"/>
          </w:tcPr>
          <w:p>
            <w:pPr>
              <w:spacing w:after="0" w:before="0"/>
            </w:pPr>
            <w:r/>
            <w:r>
              <w:rPr>
                <w:rFonts w:ascii="Cambria" w:hAnsi="Cambria" w:eastAsia="Cambria" w:cs="Cambria"/>
                <w:color w:val="000000"/>
                <w:sz w:val="17"/>
              </w:rPr>
              <w:t>“Temporary verification is operating; permanent corrective action remains open.”</w:t>
            </w:r>
          </w:p>
        </w:tc>
      </w:tr>
      <w:tr>
        <w:trPr>
          <w:cantSplit/>
        </w:trPr>
        <w:tc>
          <w:tcPr>
            <w:tcW w:type="dxa" w:w="3288"/>
            <w:tcMar>
              <w:top w:w="70" w:type="dxa"/>
              <w:left w:w="90" w:type="dxa"/>
              <w:bottom w:w="70" w:type="dxa"/>
              <w:right w:w="90" w:type="dxa"/>
            </w:tcMar>
            <w:vAlign w:val="top"/>
          </w:tcPr>
          <w:p>
            <w:pPr>
              <w:spacing w:after="0" w:before="0"/>
            </w:pPr>
            <w:r/>
            <w:r>
              <w:rPr>
                <w:rFonts w:ascii="Cambria" w:hAnsi="Cambria" w:eastAsia="Cambria" w:cs="Cambria"/>
                <w:color w:val="000000"/>
                <w:sz w:val="17"/>
              </w:rPr>
              <w:t>Decision required</w:t>
            </w:r>
          </w:p>
        </w:tc>
        <w:tc>
          <w:tcPr>
            <w:tcW w:type="dxa" w:w="6066"/>
            <w:tcMar>
              <w:top w:w="70" w:type="dxa"/>
              <w:left w:w="90" w:type="dxa"/>
              <w:bottom w:w="70" w:type="dxa"/>
              <w:right w:w="90" w:type="dxa"/>
            </w:tcMar>
            <w:vAlign w:val="top"/>
          </w:tcPr>
          <w:p>
            <w:pPr>
              <w:spacing w:after="0" w:before="0"/>
            </w:pPr>
            <w:r/>
            <w:r>
              <w:rPr>
                <w:rFonts w:ascii="Cambria" w:hAnsi="Cambria" w:eastAsia="Cambria" w:cs="Cambria"/>
                <w:color w:val="000000"/>
                <w:sz w:val="17"/>
              </w:rPr>
              <w:t>“Approve additional owner capacity and confirm the completion date, or reprioritize the work with documented management rationale.”</w:t>
            </w:r>
          </w:p>
        </w:tc>
      </w:tr>
    </w:tbl>
    <w:p>
      <w:pPr>
        <w:pStyle w:val="Heading1"/>
      </w:pPr>
      <w:r>
        <w:t>5. Facilitate the Review</w:t>
      </w:r>
    </w:p>
    <w:tbl>
      <w:tblPr>
        <w:tblStyle w:val="TableGrid"/>
        <w:tblW w:type="auto" w:w="0"/>
        <w:jc w:val="center"/>
        <w:tblLayout w:type="fixed"/>
        <w:tblLook w:val="04A0"/>
      </w:tblPr>
      <w:tblGrid>
        <w:gridCol w:w="4677"/>
        <w:gridCol w:w="4677"/>
      </w:tblGrid>
      <w:tr>
        <w:trPr>
          <w:cantSplit/>
          <w:tblHeader w:val="true"/>
        </w:trPr>
        <w:tc>
          <w:tcPr>
            <w:tcW w:type="dxa" w:w="221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Stage</w:t>
            </w:r>
          </w:p>
        </w:tc>
        <w:tc>
          <w:tcPr>
            <w:tcW w:type="dxa" w:w="7143"/>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Facilitator Guidance</w:t>
            </w:r>
          </w:p>
        </w:tc>
      </w:tr>
      <w:tr>
        <w:trPr>
          <w:cantSplit/>
        </w:trPr>
        <w:tc>
          <w:tcPr>
            <w:tcW w:type="dxa" w:w="2211"/>
            <w:tcMar>
              <w:top w:w="70" w:type="dxa"/>
              <w:left w:w="90" w:type="dxa"/>
              <w:bottom w:w="70" w:type="dxa"/>
              <w:right w:w="90" w:type="dxa"/>
            </w:tcMar>
            <w:vAlign w:val="top"/>
          </w:tcPr>
          <w:p>
            <w:pPr>
              <w:spacing w:after="0" w:before="0"/>
            </w:pPr>
            <w:r/>
            <w:r>
              <w:rPr>
                <w:rFonts w:ascii="Cambria" w:hAnsi="Cambria" w:eastAsia="Cambria" w:cs="Cambria"/>
                <w:color w:val="000000"/>
                <w:sz w:val="17"/>
              </w:rPr>
              <w:t>Open</w:t>
            </w:r>
          </w:p>
        </w:tc>
        <w:tc>
          <w:tcPr>
            <w:tcW w:type="dxa" w:w="7143"/>
            <w:tcMar>
              <w:top w:w="70" w:type="dxa"/>
              <w:left w:w="90" w:type="dxa"/>
              <w:bottom w:w="70" w:type="dxa"/>
              <w:right w:w="90" w:type="dxa"/>
            </w:tcMar>
            <w:vAlign w:val="top"/>
          </w:tcPr>
          <w:p>
            <w:pPr>
              <w:spacing w:after="0" w:before="0"/>
            </w:pPr>
            <w:r/>
            <w:r>
              <w:rPr>
                <w:rFonts w:ascii="Cambria" w:hAnsi="Cambria" w:eastAsia="Cambria" w:cs="Cambria"/>
                <w:color w:val="000000"/>
                <w:sz w:val="17"/>
              </w:rPr>
              <w:t>Confirm purpose, period, scope, material changes, required decision-makers and previous action status.</w:t>
            </w:r>
          </w:p>
        </w:tc>
      </w:tr>
      <w:tr>
        <w:trPr>
          <w:cantSplit/>
        </w:trPr>
        <w:tc>
          <w:tcPr>
            <w:tcW w:type="dxa" w:w="2211"/>
            <w:tcMar>
              <w:top w:w="70" w:type="dxa"/>
              <w:left w:w="90" w:type="dxa"/>
              <w:bottom w:w="70" w:type="dxa"/>
              <w:right w:w="90" w:type="dxa"/>
            </w:tcMar>
            <w:vAlign w:val="top"/>
          </w:tcPr>
          <w:p>
            <w:pPr>
              <w:spacing w:after="0" w:before="0"/>
            </w:pPr>
            <w:r/>
            <w:r>
              <w:rPr>
                <w:rFonts w:ascii="Cambria" w:hAnsi="Cambria" w:eastAsia="Cambria" w:cs="Cambria"/>
                <w:color w:val="000000"/>
                <w:sz w:val="17"/>
              </w:rPr>
              <w:t>Review inputs</w:t>
            </w:r>
          </w:p>
        </w:tc>
        <w:tc>
          <w:tcPr>
            <w:tcW w:type="dxa" w:w="7143"/>
            <w:tcMar>
              <w:top w:w="70" w:type="dxa"/>
              <w:left w:w="90" w:type="dxa"/>
              <w:bottom w:w="70" w:type="dxa"/>
              <w:right w:w="90" w:type="dxa"/>
            </w:tcMar>
            <w:vAlign w:val="top"/>
          </w:tcPr>
          <w:p>
            <w:pPr>
              <w:spacing w:after="0" w:before="0"/>
            </w:pPr>
            <w:r/>
            <w:r>
              <w:rPr>
                <w:rFonts w:ascii="Cambria" w:hAnsi="Cambria" w:eastAsia="Cambria" w:cs="Cambria"/>
                <w:color w:val="000000"/>
                <w:sz w:val="17"/>
              </w:rPr>
              <w:t>Lead with exceptions, trends, significant environmental issues and compliance evidence gaps. Ask owners to explain causes, consequences and proposed actions.</w:t>
            </w:r>
          </w:p>
        </w:tc>
      </w:tr>
      <w:tr>
        <w:trPr>
          <w:cantSplit/>
        </w:trPr>
        <w:tc>
          <w:tcPr>
            <w:tcW w:type="dxa" w:w="2211"/>
            <w:tcMar>
              <w:top w:w="70" w:type="dxa"/>
              <w:left w:w="90" w:type="dxa"/>
              <w:bottom w:w="70" w:type="dxa"/>
              <w:right w:w="90" w:type="dxa"/>
            </w:tcMar>
            <w:vAlign w:val="top"/>
          </w:tcPr>
          <w:p>
            <w:pPr>
              <w:spacing w:after="0" w:before="0"/>
            </w:pPr>
            <w:r/>
            <w:r>
              <w:rPr>
                <w:rFonts w:ascii="Cambria" w:hAnsi="Cambria" w:eastAsia="Cambria" w:cs="Cambria"/>
                <w:color w:val="000000"/>
                <w:sz w:val="17"/>
              </w:rPr>
              <w:t>Challenge evidence</w:t>
            </w:r>
          </w:p>
        </w:tc>
        <w:tc>
          <w:tcPr>
            <w:tcW w:type="dxa" w:w="7143"/>
            <w:tcMar>
              <w:top w:w="70" w:type="dxa"/>
              <w:left w:w="90" w:type="dxa"/>
              <w:bottom w:w="70" w:type="dxa"/>
              <w:right w:w="90" w:type="dxa"/>
            </w:tcMar>
            <w:vAlign w:val="top"/>
          </w:tcPr>
          <w:p>
            <w:pPr>
              <w:spacing w:after="0" w:before="0"/>
            </w:pPr>
            <w:r/>
            <w:r>
              <w:rPr>
                <w:rFonts w:ascii="Cambria" w:hAnsi="Cambria" w:eastAsia="Cambria" w:cs="Cambria"/>
                <w:color w:val="000000"/>
                <w:sz w:val="17"/>
              </w:rPr>
              <w:t>Clarify data limitations, incomplete populations, recurring failures, delayed actions and whether controls are effective in practice.</w:t>
            </w:r>
          </w:p>
        </w:tc>
      </w:tr>
      <w:tr>
        <w:trPr>
          <w:cantSplit/>
        </w:trPr>
        <w:tc>
          <w:tcPr>
            <w:tcW w:type="dxa" w:w="2211"/>
            <w:tcMar>
              <w:top w:w="70" w:type="dxa"/>
              <w:left w:w="90" w:type="dxa"/>
              <w:bottom w:w="70" w:type="dxa"/>
              <w:right w:w="90" w:type="dxa"/>
            </w:tcMar>
            <w:vAlign w:val="top"/>
          </w:tcPr>
          <w:p>
            <w:pPr>
              <w:spacing w:after="0" w:before="0"/>
            </w:pPr>
            <w:r/>
            <w:r>
              <w:rPr>
                <w:rFonts w:ascii="Cambria" w:hAnsi="Cambria" w:eastAsia="Cambria" w:cs="Cambria"/>
                <w:color w:val="000000"/>
                <w:sz w:val="17"/>
              </w:rPr>
              <w:t>Make decisions</w:t>
            </w:r>
          </w:p>
        </w:tc>
        <w:tc>
          <w:tcPr>
            <w:tcW w:type="dxa" w:w="7143"/>
            <w:tcMar>
              <w:top w:w="70" w:type="dxa"/>
              <w:left w:w="90" w:type="dxa"/>
              <w:bottom w:w="70" w:type="dxa"/>
              <w:right w:w="90" w:type="dxa"/>
            </w:tcMar>
            <w:vAlign w:val="top"/>
          </w:tcPr>
          <w:p>
            <w:pPr>
              <w:spacing w:after="0" w:before="0"/>
            </w:pPr>
            <w:r/>
            <w:r>
              <w:rPr>
                <w:rFonts w:ascii="Cambria" w:hAnsi="Cambria" w:eastAsia="Cambria" w:cs="Cambria"/>
                <w:color w:val="000000"/>
                <w:sz w:val="17"/>
              </w:rPr>
              <w:t>State the decision explicitly. Record who owns it, due date, priority and expected output/effectiveness evidence.</w:t>
            </w:r>
          </w:p>
        </w:tc>
      </w:tr>
      <w:tr>
        <w:trPr>
          <w:cantSplit/>
        </w:trPr>
        <w:tc>
          <w:tcPr>
            <w:tcW w:type="dxa" w:w="2211"/>
            <w:tcMar>
              <w:top w:w="70" w:type="dxa"/>
              <w:left w:w="90" w:type="dxa"/>
              <w:bottom w:w="70" w:type="dxa"/>
              <w:right w:w="90" w:type="dxa"/>
            </w:tcMar>
            <w:vAlign w:val="top"/>
          </w:tcPr>
          <w:p>
            <w:pPr>
              <w:spacing w:after="0" w:before="0"/>
            </w:pPr>
            <w:r/>
            <w:r>
              <w:rPr>
                <w:rFonts w:ascii="Cambria" w:hAnsi="Cambria" w:eastAsia="Cambria" w:cs="Cambria"/>
                <w:color w:val="000000"/>
                <w:sz w:val="17"/>
              </w:rPr>
              <w:t>Close</w:t>
            </w:r>
          </w:p>
        </w:tc>
        <w:tc>
          <w:tcPr>
            <w:tcW w:type="dxa" w:w="7143"/>
            <w:tcMar>
              <w:top w:w="70" w:type="dxa"/>
              <w:left w:w="90" w:type="dxa"/>
              <w:bottom w:w="70" w:type="dxa"/>
              <w:right w:w="90" w:type="dxa"/>
            </w:tcMar>
            <w:vAlign w:val="top"/>
          </w:tcPr>
          <w:p>
            <w:pPr>
              <w:spacing w:after="0" w:before="0"/>
            </w:pPr>
            <w:r/>
            <w:r>
              <w:rPr>
                <w:rFonts w:ascii="Cambria" w:hAnsi="Cambria" w:eastAsia="Cambria" w:cs="Cambria"/>
                <w:color w:val="000000"/>
                <w:sz w:val="17"/>
              </w:rPr>
              <w:t>Summarize overall EMS conclusions, material decisions, open actions and any early escalation/follow-up arrangements.</w:t>
            </w:r>
          </w:p>
        </w:tc>
      </w:tr>
    </w:tbl>
    <w:p>
      <w:pPr>
        <w:pStyle w:val="Heading1"/>
      </w:pPr>
      <w:r>
        <w:t>6. Useful Management Questions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What environmental condition, business activity or stakeholder expectation has changed most since the previous review?</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Which significant aspects or high-consequence controls show weakening performance or recurring exceptions?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Which compliance conclusions have weak or missing objective evidence and what decision is needed?</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What do audit findings, incidents and complaints tell us about systemic causes rather than isolated events?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Are environmental objectives driving the intended outcome, or only activity completion?</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Where do external providers, materials or process changes create new environmental dependencies?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What resource or competence constraint is preventing effective control or improvement?</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What management decision is needed today rather than another analysis action?</w:t>
      </w:r>
    </w:p>
    <w:p>
      <w:pPr>
        <w:pStyle w:val="Heading1"/>
      </w:pPr>
      <w:r>
        <w:t>7. Decisions — Make Them Auditable and Actionable</w:t>
      </w:r>
    </w:p>
    <w:tbl>
      <w:tblPr>
        <w:tblStyle w:val="TableGrid"/>
        <w:tblW w:type="auto" w:w="0"/>
        <w:jc w:val="center"/>
        <w:tblLayout w:type="fixed"/>
        <w:tblLook w:val="04A0"/>
      </w:tblPr>
      <w:tblGrid>
        <w:gridCol w:w="4677"/>
        <w:gridCol w:w="4677"/>
      </w:tblGrid>
      <w:tr>
        <w:trPr>
          <w:cantSplit/>
          <w:tblHeader w:val="true"/>
        </w:trPr>
        <w:tc>
          <w:tcPr>
            <w:tcW w:type="dxa" w:w="3855"/>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Weak Decision</w:t>
            </w:r>
          </w:p>
        </w:tc>
        <w:tc>
          <w:tcPr>
            <w:tcW w:type="dxa" w:w="5499"/>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Better Decision</w:t>
            </w:r>
          </w:p>
        </w:tc>
      </w:tr>
      <w:tr>
        <w:trPr>
          <w:cantSplit/>
        </w:trPr>
        <w:tc>
          <w:tcPr>
            <w:tcW w:type="dxa" w:w="3855"/>
            <w:tcMar>
              <w:top w:w="70" w:type="dxa"/>
              <w:left w:w="90" w:type="dxa"/>
              <w:bottom w:w="70" w:type="dxa"/>
              <w:right w:w="90" w:type="dxa"/>
            </w:tcMar>
            <w:vAlign w:val="top"/>
          </w:tcPr>
          <w:p>
            <w:pPr>
              <w:spacing w:after="0" w:before="0"/>
            </w:pPr>
            <w:r/>
            <w:r>
              <w:rPr>
                <w:rFonts w:ascii="Cambria" w:hAnsi="Cambria" w:eastAsia="Cambria" w:cs="Cambria"/>
                <w:color w:val="000000"/>
                <w:sz w:val="17"/>
              </w:rPr>
              <w:t>“Improve waste management.”</w:t>
            </w:r>
          </w:p>
        </w:tc>
        <w:tc>
          <w:tcPr>
            <w:tcW w:type="dxa" w:w="5499"/>
            <w:tcMar>
              <w:top w:w="70" w:type="dxa"/>
              <w:left w:w="90" w:type="dxa"/>
              <w:bottom w:w="70" w:type="dxa"/>
              <w:right w:w="90" w:type="dxa"/>
            </w:tcMar>
            <w:vAlign w:val="top"/>
          </w:tcPr>
          <w:p>
            <w:pPr>
              <w:spacing w:after="0" w:before="0"/>
            </w:pPr>
            <w:r/>
            <w:r>
              <w:rPr>
                <w:rFonts w:ascii="Cambria" w:hAnsi="Cambria" w:eastAsia="Cambria" w:cs="Cambria"/>
                <w:color w:val="000000"/>
                <w:sz w:val="17"/>
              </w:rPr>
              <w:t>“Facilities Manager to implement the agreed segregation/inspection change for the defined areas by [date] and report the first two review results.”</w:t>
            </w:r>
          </w:p>
        </w:tc>
      </w:tr>
      <w:tr>
        <w:trPr>
          <w:cantSplit/>
        </w:trPr>
        <w:tc>
          <w:tcPr>
            <w:tcW w:type="dxa" w:w="3855"/>
            <w:tcMar>
              <w:top w:w="70" w:type="dxa"/>
              <w:left w:w="90" w:type="dxa"/>
              <w:bottom w:w="70" w:type="dxa"/>
              <w:right w:w="90" w:type="dxa"/>
            </w:tcMar>
            <w:vAlign w:val="top"/>
          </w:tcPr>
          <w:p>
            <w:pPr>
              <w:spacing w:after="0" w:before="0"/>
            </w:pPr>
            <w:r/>
            <w:r>
              <w:rPr>
                <w:rFonts w:ascii="Cambria" w:hAnsi="Cambria" w:eastAsia="Cambria" w:cs="Cambria"/>
                <w:color w:val="000000"/>
                <w:sz w:val="17"/>
              </w:rPr>
              <w:t>“Review environmental compliance.”</w:t>
            </w:r>
          </w:p>
        </w:tc>
        <w:tc>
          <w:tcPr>
            <w:tcW w:type="dxa" w:w="5499"/>
            <w:tcMar>
              <w:top w:w="70" w:type="dxa"/>
              <w:left w:w="90" w:type="dxa"/>
              <w:bottom w:w="70" w:type="dxa"/>
              <w:right w:w="90" w:type="dxa"/>
            </w:tcMar>
            <w:vAlign w:val="top"/>
          </w:tcPr>
          <w:p>
            <w:pPr>
              <w:spacing w:after="0" w:before="0"/>
            </w:pPr>
            <w:r/>
            <w:r>
              <w:rPr>
                <w:rFonts w:ascii="Cambria" w:hAnsi="Cambria" w:eastAsia="Cambria" w:cs="Cambria"/>
                <w:color w:val="000000"/>
                <w:sz w:val="17"/>
              </w:rPr>
              <w:t>“Compliance Manager to complete evidence-based re-evaluation of the identified priority obligations by [date] and escalate unresolved applicability/evidence issues.”</w:t>
            </w:r>
          </w:p>
        </w:tc>
      </w:tr>
      <w:tr>
        <w:trPr>
          <w:cantSplit/>
        </w:trPr>
        <w:tc>
          <w:tcPr>
            <w:tcW w:type="dxa" w:w="3855"/>
            <w:tcMar>
              <w:top w:w="70" w:type="dxa"/>
              <w:left w:w="90" w:type="dxa"/>
              <w:bottom w:w="70" w:type="dxa"/>
              <w:right w:w="90" w:type="dxa"/>
            </w:tcMar>
            <w:vAlign w:val="top"/>
          </w:tcPr>
          <w:p>
            <w:pPr>
              <w:spacing w:after="0" w:before="0"/>
            </w:pPr>
            <w:r/>
            <w:r>
              <w:rPr>
                <w:rFonts w:ascii="Cambria" w:hAnsi="Cambria" w:eastAsia="Cambria" w:cs="Cambria"/>
                <w:color w:val="000000"/>
                <w:sz w:val="17"/>
              </w:rPr>
              <w:t>“Reduce energy.”</w:t>
            </w:r>
          </w:p>
        </w:tc>
        <w:tc>
          <w:tcPr>
            <w:tcW w:type="dxa" w:w="5499"/>
            <w:tcMar>
              <w:top w:w="70" w:type="dxa"/>
              <w:left w:w="90" w:type="dxa"/>
              <w:bottom w:w="70" w:type="dxa"/>
              <w:right w:w="90" w:type="dxa"/>
            </w:tcMar>
            <w:vAlign w:val="top"/>
          </w:tcPr>
          <w:p>
            <w:pPr>
              <w:spacing w:after="0" w:before="0"/>
            </w:pPr>
            <w:r/>
            <w:r>
              <w:rPr>
                <w:rFonts w:ascii="Cambria" w:hAnsi="Cambria" w:eastAsia="Cambria" w:cs="Cambria"/>
                <w:color w:val="000000"/>
                <w:sz w:val="17"/>
              </w:rPr>
              <w:t>“Engineering Manager to confirm the revised baseline, target and monitoring method by [date], then present monthly trend against the approved target.”</w:t>
            </w:r>
          </w:p>
        </w:tc>
      </w:tr>
      <w:tr>
        <w:trPr>
          <w:cantSplit/>
        </w:trPr>
        <w:tc>
          <w:tcPr>
            <w:tcW w:type="dxa" w:w="3855"/>
            <w:tcMar>
              <w:top w:w="70" w:type="dxa"/>
              <w:left w:w="90" w:type="dxa"/>
              <w:bottom w:w="70" w:type="dxa"/>
              <w:right w:w="90" w:type="dxa"/>
            </w:tcMar>
            <w:vAlign w:val="top"/>
          </w:tcPr>
          <w:p>
            <w:pPr>
              <w:spacing w:after="0" w:before="0"/>
            </w:pPr>
            <w:r/>
            <w:r>
              <w:rPr>
                <w:rFonts w:ascii="Cambria" w:hAnsi="Cambria" w:eastAsia="Cambria" w:cs="Cambria"/>
                <w:color w:val="000000"/>
                <w:sz w:val="17"/>
              </w:rPr>
              <w:t>“Review suppliers.”</w:t>
            </w:r>
          </w:p>
        </w:tc>
        <w:tc>
          <w:tcPr>
            <w:tcW w:type="dxa" w:w="5499"/>
            <w:tcMar>
              <w:top w:w="70" w:type="dxa"/>
              <w:left w:w="90" w:type="dxa"/>
              <w:bottom w:w="70" w:type="dxa"/>
              <w:right w:w="90" w:type="dxa"/>
            </w:tcMar>
            <w:vAlign w:val="top"/>
          </w:tcPr>
          <w:p>
            <w:pPr>
              <w:spacing w:after="0" w:before="0"/>
            </w:pPr>
            <w:r/>
            <w:r>
              <w:rPr>
                <w:rFonts w:ascii="Cambria" w:hAnsi="Cambria" w:eastAsia="Cambria" w:cs="Cambria"/>
                <w:color w:val="000000"/>
                <w:sz w:val="17"/>
              </w:rPr>
              <w:t>“Procurement and EMS owners to apply environmental screening to the defined high-impact supplier/service categories by [date] and report unresolved control gaps.”</w:t>
            </w:r>
          </w:p>
        </w:tc>
      </w:tr>
    </w:tbl>
    <w:p>
      <w:pPr>
        <w:pStyle w:val="Heading1"/>
      </w:pPr>
      <w:r>
        <w:t>8. Action Tracking</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Assign one accountable owner, not a department name alone.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Set a due date based on environmental significance, compliance exposure and dependency.</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Define the expected completion evidence or outcome.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Escalate material overdue actions instead of repeatedly moving dates without a decision.</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Verify effectiveness when an action is intended to correct recurring control failure or a significant nonconformity.</w:t>
      </w:r>
    </w:p>
    <w:p>
      <w:pPr>
        <w:pStyle w:val="Heading1"/>
      </w:pPr>
      <w:r>
        <w:t>9. Common Pitfalls</w:t>
      </w:r>
    </w:p>
    <w:tbl>
      <w:tblPr>
        <w:tblStyle w:val="TableGrid"/>
        <w:tblW w:type="auto" w:w="0"/>
        <w:jc w:val="center"/>
        <w:tblLayout w:type="fixed"/>
        <w:tblLook w:val="04A0"/>
      </w:tblPr>
      <w:tblGrid>
        <w:gridCol w:w="4677"/>
        <w:gridCol w:w="4677"/>
      </w:tblGrid>
      <w:tr>
        <w:trPr>
          <w:cantSplit/>
          <w:tblHeader w:val="true"/>
        </w:trPr>
        <w:tc>
          <w:tcPr>
            <w:tcW w:type="dxa" w:w="3969"/>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Pitfall</w:t>
            </w:r>
          </w:p>
        </w:tc>
        <w:tc>
          <w:tcPr>
            <w:tcW w:type="dxa" w:w="5386"/>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Better Practice</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Treating management review as an annual presentation.</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Use it as a management decision process supported by current evidence.</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Reviewing every metric equally.</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Focus on exceptions, trends, significant change and decisions.</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Assuming legal/compliance status from an old register.</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Use verified, current source/evaluation evidence and state limitations.</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Closing prior actions by changing due dates.</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Record a new management decision and continue tracking the underlying action.</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Recording discussion without decisions.</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State conclusions and actions explicitly.</w:t>
            </w:r>
          </w:p>
        </w:tc>
      </w:tr>
      <w:tr>
        <w:trPr>
          <w:cantSplit/>
        </w:trPr>
        <w:tc>
          <w:tcPr>
            <w:tcW w:type="dxa" w:w="3969"/>
            <w:tcMar>
              <w:top w:w="70" w:type="dxa"/>
              <w:left w:w="90" w:type="dxa"/>
              <w:bottom w:w="70" w:type="dxa"/>
              <w:right w:w="90" w:type="dxa"/>
            </w:tcMar>
            <w:vAlign w:val="top"/>
          </w:tcPr>
          <w:p>
            <w:pPr>
              <w:spacing w:after="0" w:before="0"/>
            </w:pPr>
            <w:r/>
            <w:r>
              <w:rPr>
                <w:rFonts w:ascii="Cambria" w:hAnsi="Cambria" w:eastAsia="Cambria" w:cs="Cambria"/>
                <w:color w:val="000000"/>
                <w:sz w:val="17"/>
              </w:rPr>
              <w:t>Using unactionable actions such as “monitor”.</w:t>
            </w:r>
          </w:p>
        </w:tc>
        <w:tc>
          <w:tcPr>
            <w:tcW w:type="dxa" w:w="5386"/>
            <w:tcMar>
              <w:top w:w="70" w:type="dxa"/>
              <w:left w:w="90" w:type="dxa"/>
              <w:bottom w:w="70" w:type="dxa"/>
              <w:right w:w="90" w:type="dxa"/>
            </w:tcMar>
            <w:vAlign w:val="top"/>
          </w:tcPr>
          <w:p>
            <w:pPr>
              <w:spacing w:after="0" w:before="0"/>
            </w:pPr>
            <w:r/>
            <w:r>
              <w:rPr>
                <w:rFonts w:ascii="Cambria" w:hAnsi="Cambria" w:eastAsia="Cambria" w:cs="Cambria"/>
                <w:color w:val="000000"/>
                <w:sz w:val="17"/>
              </w:rPr>
              <w:t>Define what will be monitored, by whom, frequency/trigger and expected management outcome.</w:t>
            </w:r>
          </w:p>
        </w:tc>
      </w:tr>
    </w:tbl>
    <w:p>
      <w:pPr>
        <w:pStyle w:val="Heading1"/>
      </w:pPr>
      <w:r>
        <w:t>10. Management Review Quick Checklist</w:t>
      </w:r>
    </w:p>
    <w:tbl>
      <w:tblPr>
        <w:tblStyle w:val="TableGrid"/>
        <w:tblW w:type="auto" w:w="0"/>
        <w:jc w:val="center"/>
        <w:tblLayout w:type="fixed"/>
        <w:tblLook w:val="04A0"/>
      </w:tblPr>
      <w:tblGrid>
        <w:gridCol w:w="3118"/>
        <w:gridCol w:w="3118"/>
        <w:gridCol w:w="3118"/>
      </w:tblGrid>
      <w:tr>
        <w:trPr>
          <w:cantSplit/>
          <w:tblHeader w:val="true"/>
        </w:trPr>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Before</w:t>
            </w:r>
          </w:p>
        </w:tc>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During</w:t>
            </w:r>
          </w:p>
        </w:tc>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After</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Previous actions updated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Material changes reviewed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Minutes approved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Required inputs compiled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Significant aspects / exceptions challenged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Actions entered in tracker</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Data sources / limitations checked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Compliance evidence gaps considered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Owners / due dates confirmed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Decision-makers invited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Resource needs decided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EMS changes updated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Evidence pack concise</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Overall EMS conclusion recorded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Overdue significant actions escalated</w:t>
            </w:r>
          </w:p>
        </w:tc>
      </w:tr>
    </w:tbl>
    <w:p>
      <w:pPr>
        <w:pStyle w:val="Heading1"/>
      </w:pPr>
      <w:r>
        <w:t>Related Documents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Management Review Procedure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Management Review Agenda &amp; Minutes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Objectives &amp; KPI records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Aspects &amp; Impacts Register</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Compliance Evaluation records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Internal Environmental Audit Report</w:t>
      </w:r>
    </w:p>
    <w:p>
      <w:pPr>
        <w:pStyle w:val="Heading1"/>
      </w:pPr>
      <w:r>
        <w:t>Approval and Revision</w:t>
      </w:r>
    </w:p>
    <w:tbl>
      <w:tblPr>
        <w:tblStyle w:val="TableGrid"/>
        <w:tblW w:type="auto" w:w="0"/>
        <w:jc w:val="center"/>
        <w:tblLayout w:type="fixed"/>
        <w:tblLook w:val="04A0"/>
      </w:tblPr>
      <w:tblGrid>
        <w:gridCol w:w="2339"/>
        <w:gridCol w:w="2339"/>
        <w:gridCol w:w="2339"/>
        <w:gridCol w:w="2339"/>
      </w:tblGrid>
      <w:tr>
        <w:trPr>
          <w:cantSplit/>
          <w:tblHeader w:val="true"/>
        </w:trPr>
        <w:tc>
          <w:tcPr>
            <w:tcW w:type="dxa" w:w="204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Role</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Name / Position</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Approval / Signature</w:t>
            </w:r>
          </w:p>
        </w:tc>
        <w:tc>
          <w:tcPr>
            <w:tcW w:type="dxa" w:w="187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Prepared / Maintained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Reviewed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[REVIEWER / FUNCTION]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Approved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Top Management</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bl>
    <w:p>
      <w:r>
        <w:rPr>
          <w:rFonts w:ascii="Cambria" w:hAnsi="Cambria" w:eastAsia="Cambria" w:cs="Cambria"/>
          <w:b/>
          <w:color w:val="1F4E79"/>
          <w:sz w:val="20"/>
        </w:rPr>
        <w:t>Revision History</w:t>
      </w:r>
    </w:p>
    <w:tbl>
      <w:tblPr>
        <w:tblStyle w:val="TableGrid"/>
        <w:tblW w:type="auto" w:w="0"/>
        <w:jc w:val="center"/>
        <w:tblLayout w:type="fixed"/>
        <w:tblLook w:val="04A0"/>
      </w:tblPr>
      <w:tblGrid>
        <w:gridCol w:w="3118"/>
        <w:gridCol w:w="3118"/>
        <w:gridCol w:w="3118"/>
      </w:tblGrid>
      <w:tr>
        <w:trPr>
          <w:cantSplit/>
          <w:tblHeader w:val="true"/>
        </w:trPr>
        <w:tc>
          <w:tcPr>
            <w:tcW w:type="dxa" w:w="141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Version</w:t>
            </w:r>
          </w:p>
        </w:tc>
        <w:tc>
          <w:tcPr>
            <w:tcW w:type="dxa" w:w="198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c>
          <w:tcPr>
            <w:tcW w:type="dxa" w:w="5953"/>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Description</w:t>
            </w:r>
          </w:p>
        </w:tc>
      </w:tr>
      <w:tr>
        <w:trPr>
          <w:cantSplit/>
        </w:trPr>
        <w:tc>
          <w:tcPr>
            <w:tcW w:type="dxa" w:w="1417"/>
            <w:tcMar>
              <w:top w:w="70" w:type="dxa"/>
              <w:left w:w="90" w:type="dxa"/>
              <w:bottom w:w="70" w:type="dxa"/>
              <w:right w:w="90" w:type="dxa"/>
            </w:tcMar>
            <w:vAlign w:val="top"/>
          </w:tcPr>
          <w:p>
            <w:pPr>
              <w:spacing w:after="0" w:before="0"/>
            </w:pPr>
            <w:r/>
            <w:r>
              <w:rPr>
                <w:rFonts w:ascii="Cambria" w:hAnsi="Cambria" w:eastAsia="Cambria" w:cs="Cambria"/>
                <w:color w:val="000000"/>
                <w:sz w:val="17"/>
              </w:rPr>
              <w:t>1.0</w:t>
            </w:r>
          </w:p>
        </w:tc>
        <w:tc>
          <w:tcPr>
            <w:tcW w:type="dxa" w:w="1984"/>
            <w:tcMar>
              <w:top w:w="70" w:type="dxa"/>
              <w:left w:w="90" w:type="dxa"/>
              <w:bottom w:w="70" w:type="dxa"/>
              <w:right w:w="90" w:type="dxa"/>
            </w:tcMar>
            <w:vAlign w:val="top"/>
          </w:tcPr>
          <w:p>
            <w:pPr>
              <w:spacing w:after="0" w:before="0"/>
            </w:pPr>
            <w:r/>
            <w:r>
              <w:rPr>
                <w:rFonts w:ascii="Cambria" w:hAnsi="Cambria" w:eastAsia="Cambria" w:cs="Cambria"/>
                <w:color w:val="000000"/>
                <w:sz w:val="17"/>
              </w:rPr>
              <w:t>2026-09-18</w:t>
            </w:r>
          </w:p>
        </w:tc>
        <w:tc>
          <w:tcPr>
            <w:tcW w:type="dxa" w:w="5953"/>
            <w:tcMar>
              <w:top w:w="70" w:type="dxa"/>
              <w:left w:w="90" w:type="dxa"/>
              <w:bottom w:w="70" w:type="dxa"/>
              <w:right w:w="90" w:type="dxa"/>
            </w:tcMar>
            <w:vAlign w:val="top"/>
          </w:tcPr>
          <w:p>
            <w:pPr>
              <w:spacing w:after="0" w:before="0"/>
            </w:pPr>
            <w:r/>
            <w:r>
              <w:rPr>
                <w:rFonts w:ascii="Cambria" w:hAnsi="Cambria" w:eastAsia="Cambria" w:cs="Cambria"/>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
      <w:rPr>
        <w:rFonts w:ascii="Cambria" w:hAnsi="Cambria" w:eastAsia="Cambria" w:cs="Cambria"/>
        <w:color w:val="666666"/>
        <w:sz w:val="16"/>
      </w:rPr>
      <w:t>Copyright © ISO Toolkits | www.iso-toolkits.org | info@iso-toolkits.org</w:t>
    </w:r>
  </w:p>
  <w:p>
    <w:pPr>
      <w:spacing w:before="0" w:after="0"/>
      <w:jc w:val="center"/>
    </w:pPr>
    <w:r>
      <w:rPr>
        <w:rFonts w:ascii="Cambria" w:hAnsi="Cambria" w:eastAsia="Cambria" w:cs="Cambria"/>
        <w:color w:val="666666"/>
        <w:sz w:val="16"/>
      </w:rPr>
      <w:t xml:space="preserve">CONTROLLED DOCUMENT | INTERNAL | Page </w:t>
    </w:r>
    <w:r>
      <w:rPr>
        <w:rFonts w:ascii="Cambria" w:hAnsi="Cambria" w:eastAsia="Cambria" w:cs="Cambria"/>
        <w:sz w:val="16"/>
      </w:rPr>
      <w:fldChar w:fldCharType="begin"/>
      <w:instrText xml:space="preserve"> PAGE </w:instrText>
      <w:fldChar w:fldCharType="separate"/>
      <w:t>1</w:t>
      <w:fldChar w:fldCharType="end"/>
    </w:r>
    <w:r>
      <w:rPr>
        <w:rFonts w:ascii="Cambria" w:hAnsi="Cambria" w:eastAsia="Cambria" w:cs="Cambria"/>
        <w:color w:val="666666"/>
        <w:sz w:val="16"/>
      </w:rPr>
      <w:t xml:space="preserve"> of </w:t>
    </w:r>
    <w:r>
      <w:rPr>
        <w:rFonts w:ascii="Cambria" w:hAnsi="Cambria" w:eastAsia="Cambria" w:cs="Cambria"/>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587"/>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6"/>
            </w:rPr>
            <w:t>ORGANIZATION</w:t>
          </w:r>
          <w:r>
            <w:br/>
          </w:r>
          <w:r>
            <w:rPr>
              <w:rFonts w:ascii="Cambria" w:hAnsi="Cambria" w:eastAsia="Cambria" w:cs="Cambria"/>
              <w:b w:val="0"/>
              <w:color w:val="000000"/>
              <w:sz w:val="16"/>
            </w:rPr>
            <w:t>LOGO</w:t>
          </w:r>
        </w:p>
      </w:tc>
      <w:tc>
        <w:tcPr>
          <w:tcW w:type="dxa" w:w="5159"/>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8"/>
            </w:rPr>
            <w:t>[ORGANIZATION NAME]</w:t>
          </w:r>
          <w:r>
            <w:br/>
          </w:r>
          <w:r>
            <w:rPr>
              <w:rFonts w:ascii="Cambria" w:hAnsi="Cambria" w:eastAsia="Cambria" w:cs="Cambria"/>
              <w:b/>
              <w:color w:val="1F4E79"/>
              <w:sz w:val="18"/>
            </w:rPr>
            <w:t>Environmental Management Review Guidance</w:t>
          </w:r>
        </w:p>
      </w:tc>
      <w:tc>
        <w:tcPr>
          <w:tcW w:type="dxa" w:w="2608"/>
          <w:tcBorders>
            <w:bottom w:val="single" w:sz="6" w:color="1F4E79"/>
          </w:tcBorders>
          <w:tcMar>
            <w:top w:w="40" w:type="dxa"/>
            <w:left w:w="60" w:type="dxa"/>
            <w:bottom w:w="40" w:type="dxa"/>
            <w:right w:w="60" w:type="dxa"/>
          </w:tcMar>
          <w:vAlign w:val="center"/>
        </w:tcPr>
        <w:p>
          <w:pPr>
            <w:spacing w:after="0"/>
            <w:jc w:val="right"/>
          </w:pPr>
          <w:r>
            <w:rPr>
              <w:rFonts w:ascii="Cambria" w:hAnsi="Cambria" w:eastAsia="Cambria" w:cs="Cambria"/>
              <w:b/>
              <w:color w:val="000000"/>
              <w:sz w:val="16"/>
            </w:rPr>
            <w:t>EMS-GOV-005</w:t>
          </w:r>
          <w:r>
            <w:br/>
          </w:r>
          <w:r>
            <w:rPr>
              <w:rFonts w:ascii="Cambria" w:hAnsi="Cambria" w:eastAsia="Cambria" w:cs="Cambria"/>
              <w:b w:val="0"/>
              <w:color w:val="000000"/>
              <w:sz w:val="16"/>
            </w:rPr>
            <w:t>Version 1.0</w:t>
          </w:r>
          <w:r>
            <w:br/>
          </w:r>
          <w:r>
            <w:rPr>
              <w:rFonts w:ascii="Cambria" w:hAnsi="Cambria" w:eastAsia="Cambria" w:cs="Cambria"/>
              <w:b w:val="0"/>
              <w:color w:val="000000"/>
              <w:sz w:val="16"/>
            </w:rPr>
            <w:t>Effective 2026-09-18</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mbria" w:hAnsi="Cambria" w:eastAsia="Cambria" w:cs="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Cambria" w:hAnsi="Cambria"/>
      <w:i/>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Management Review Guidance</dc:title>
  <dc:subject>Environmental Management System document</dc:subject>
  <dc:creator>ISO Toolkits</dc:creator>
  <cp:keywords>ISO 14001, EMS, environmental management review guidance, ISO Toolkits</cp:keywords>
  <dc:description>www.iso-toolkits.org | info@iso-toolkits.org</dc:description>
  <cp:lastModifiedBy/>
  <cp:revision>1</cp:revision>
  <dcterms:created xsi:type="dcterms:W3CDTF">2013-12-23T23:15:00Z</dcterms:created>
  <dcterms:modified xsi:type="dcterms:W3CDTF">2013-12-23T23:15:00Z</dcterms:modified>
  <cp:category/>
</cp:coreProperties>
</file>