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pStyle w:val="Title"/>
        <w:jc w:val="left"/>
      </w:pPr>
      <w:r>
        <w:rPr>
          <w:rFonts w:ascii="Cambria" w:hAnsi="Cambria" w:eastAsia="Cambria" w:cs="Cambria"/>
          <w:b/>
          <w:i w:val="0"/>
          <w:color w:val="1F4E79"/>
          <w:sz w:val="40"/>
        </w:rPr>
        <w:t>ENVIRONMENTAL MANAGEMENT MANUAL</w:t>
      </w:r>
    </w:p>
    <w:p>
      <w:pPr>
        <w:spacing w:before="0" w:after="160" w:line="252" w:lineRule="auto"/>
      </w:pPr>
      <w:r>
        <w:rPr>
          <w:rFonts w:ascii="Cambria" w:hAnsi="Cambria" w:eastAsia="Cambria" w:cs="Cambria"/>
          <w:b/>
          <w:i w:val="0"/>
          <w:color w:val="000000"/>
          <w:sz w:val="22"/>
        </w:rPr>
        <w:t>ISO 14001:2026</w:t>
      </w:r>
    </w:p>
    <w:tbl>
      <w:tblPr>
        <w:tblW w:type="auto" w:w="0"/>
        <w:jc w:val="center"/>
        <w:tblLayout w:type="fixed"/>
        <w:tblLook w:val="04A0"/>
      </w:tblPr>
      <w:tblGrid>
        <w:gridCol w:w="2339"/>
        <w:gridCol w:w="2339"/>
        <w:gridCol w:w="2339"/>
        <w:gridCol w:w="2339"/>
      </w:tblGrid>
      <w:tr>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Document Owner</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EMS Manager / Environmental Manager</w:t>
            </w:r>
          </w:p>
        </w:tc>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Approver</w:t>
            </w:r>
          </w:p>
        </w:tc>
        <w:tc>
          <w:tcPr>
            <w:tcW w:type="dxa" w:w="31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Top Management</w:t>
            </w:r>
          </w:p>
        </w:tc>
      </w:tr>
      <w:tr>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Classification</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INTERNAL</w:t>
            </w:r>
          </w:p>
        </w:tc>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Next Review</w:t>
            </w:r>
          </w:p>
        </w:tc>
        <w:tc>
          <w:tcPr>
            <w:tcW w:type="dxa" w:w="31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2027-09-18</w:t>
            </w:r>
          </w:p>
        </w:tc>
      </w:tr>
    </w:tbl>
    <w:p/>
    <w:p>
      <w:pPr>
        <w:pStyle w:val="Heading1"/>
      </w:pPr>
      <w:r>
        <w:rPr>
          <w:rFonts w:ascii="Cambria" w:hAnsi="Cambria" w:eastAsia="Cambria" w:cs="Cambria"/>
          <w:b/>
          <w:i w:val="0"/>
          <w:color w:val="1F4E79"/>
          <w:sz w:val="25"/>
        </w:rPr>
        <w:t>1. Purpose</w:t>
      </w:r>
    </w:p>
    <w:p>
      <w:pPr>
        <w:spacing w:before="0" w:after="80" w:line="252" w:lineRule="auto"/>
      </w:pPr>
      <w:r>
        <w:rPr>
          <w:rFonts w:ascii="Cambria" w:hAnsi="Cambria" w:eastAsia="Cambria" w:cs="Cambria"/>
          <w:b w:val="0"/>
          <w:i w:val="0"/>
          <w:color w:val="000000"/>
          <w:sz w:val="20"/>
        </w:rPr>
        <w:t>This manual describes the organization’s Environmental Management System (EMS), including its scope, governance, process framework and operating model. It provides a concise system-level reference without duplicating the detailed controls maintained in procedures, registers, plans and operational records.</w:t>
      </w:r>
    </w:p>
    <w:p>
      <w:pPr>
        <w:pStyle w:val="Heading1"/>
      </w:pPr>
      <w:r>
        <w:rPr>
          <w:rFonts w:ascii="Cambria" w:hAnsi="Cambria" w:eastAsia="Cambria" w:cs="Cambria"/>
          <w:b/>
          <w:i w:val="0"/>
          <w:color w:val="1F4E79"/>
          <w:sz w:val="25"/>
        </w:rPr>
        <w:t>2. EMS Scope</w:t>
      </w:r>
    </w:p>
    <w:p>
      <w:pPr>
        <w:spacing w:before="0" w:after="80" w:line="252" w:lineRule="auto"/>
      </w:pPr>
      <w:r>
        <w:rPr>
          <w:rFonts w:ascii="Cambria" w:hAnsi="Cambria" w:eastAsia="Cambria" w:cs="Cambria"/>
          <w:b w:val="0"/>
          <w:i w:val="0"/>
          <w:color w:val="000000"/>
          <w:sz w:val="20"/>
        </w:rPr>
        <w:t>EMS scope: [DEFINE BUSINESS UNITS, LOCATIONS, ACTIVITIES, PRODUCTS/SERVICES, ORGANIZATIONAL BOUNDARIES AND RELEVANT EXTERNAL INTERFACES].</w:t>
      </w:r>
    </w:p>
    <w:p>
      <w:pPr>
        <w:spacing w:before="0" w:after="80" w:line="252" w:lineRule="auto"/>
      </w:pPr>
      <w:r>
        <w:rPr>
          <w:rFonts w:ascii="Cambria" w:hAnsi="Cambria" w:eastAsia="Cambria" w:cs="Cambria"/>
          <w:b w:val="0"/>
          <w:i w:val="0"/>
          <w:color w:val="000000"/>
          <w:sz w:val="20"/>
        </w:rPr>
        <w:t>The approved scope considers activities, products and services under the organization’s control or influence, relevant outsourced processes and interfaces, and is maintained as controlled documented information.</w:t>
      </w:r>
    </w:p>
    <w:p>
      <w:pPr>
        <w:pStyle w:val="Heading1"/>
      </w:pPr>
      <w:r>
        <w:rPr>
          <w:rFonts w:ascii="Cambria" w:hAnsi="Cambria" w:eastAsia="Cambria" w:cs="Cambria"/>
          <w:b/>
          <w:i w:val="0"/>
          <w:color w:val="1F4E79"/>
          <w:sz w:val="25"/>
        </w:rPr>
        <w:t>3. Organization Context and Interested Parties</w:t>
      </w:r>
    </w:p>
    <w:p>
      <w:pPr>
        <w:spacing w:before="0" w:after="80" w:line="252" w:lineRule="auto"/>
      </w:pPr>
      <w:r>
        <w:rPr>
          <w:rFonts w:ascii="Cambria" w:hAnsi="Cambria" w:eastAsia="Cambria" w:cs="Cambria"/>
          <w:b w:val="0"/>
          <w:i w:val="0"/>
          <w:color w:val="000000"/>
          <w:sz w:val="20"/>
        </w:rPr>
        <w:t>The organization identifies internal and external issues that can affect intended EMS outcomes and environmental performance. The context review considers business change, technology, supply-chain dependencies, environmental conditions, relevant stakeholder expectations and other factors that may affect the EMS.</w:t>
      </w:r>
    </w:p>
    <w:p>
      <w:pPr>
        <w:spacing w:before="0" w:after="80" w:line="252" w:lineRule="auto"/>
      </w:pPr>
      <w:r>
        <w:rPr>
          <w:rFonts w:ascii="Cambria" w:hAnsi="Cambria" w:eastAsia="Cambria" w:cs="Cambria"/>
          <w:b w:val="0"/>
          <w:i w:val="0"/>
          <w:color w:val="000000"/>
          <w:sz w:val="20"/>
        </w:rPr>
        <w:t>Relevant interested parties may include regulators, customers, workers, owners, communities, emergency services, suppliers, contractors and other parties whose needs or expectations can affect environmental management. Applicable expectations are translated into compliance obligations, controls, objectives or communication arrangements as appropriate.</w:t>
      </w:r>
    </w:p>
    <w:p>
      <w:pPr>
        <w:pStyle w:val="Heading1"/>
      </w:pPr>
      <w:r>
        <w:rPr>
          <w:rFonts w:ascii="Cambria" w:hAnsi="Cambria" w:eastAsia="Cambria" w:cs="Cambria"/>
          <w:b/>
          <w:i w:val="0"/>
          <w:color w:val="1F4E79"/>
          <w:sz w:val="25"/>
        </w:rPr>
        <w:t>4. EMS Process Framework</w:t>
      </w:r>
    </w:p>
    <w:tbl>
      <w:tblPr>
        <w:tblW w:type="auto" w:w="0"/>
        <w:jc w:val="center"/>
        <w:tblLayout w:type="fixed"/>
        <w:tblLook w:val="04A0"/>
      </w:tblPr>
      <w:tblGrid>
        <w:gridCol w:w="3118"/>
        <w:gridCol w:w="3118"/>
        <w:gridCol w:w="3118"/>
      </w:tblGrid>
      <w:tr>
        <w:trPr>
          <w:tblHeader w:val="true"/>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Process Group</w:t>
            </w:r>
          </w:p>
        </w:tc>
        <w:tc>
          <w:tcPr>
            <w:tcW w:type="dxa" w:w="39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Core EMS Activities</w:t>
            </w:r>
          </w:p>
        </w:tc>
        <w:tc>
          <w:tcPr>
            <w:tcW w:type="dxa" w:w="345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Typical Outputs / Evidence</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Leadership &amp; Governance</w:t>
            </w:r>
          </w:p>
        </w:tc>
        <w:tc>
          <w:tcPr>
            <w:tcW w:type="dxa" w:w="39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Policy, scope, responsibilities, resources, integration, management review.</w:t>
            </w:r>
          </w:p>
        </w:tc>
        <w:tc>
          <w:tcPr>
            <w:tcW w:type="dxa" w:w="345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Approved policy/scope, decisions, resources, review actions</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Planning</w:t>
            </w:r>
          </w:p>
        </w:tc>
        <w:tc>
          <w:tcPr>
            <w:tcW w:type="dxa" w:w="39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Context, interested parties, aspects/impacts, compliance obligations, risks/opportunities, objectives and change planning.</w:t>
            </w:r>
          </w:p>
        </w:tc>
        <w:tc>
          <w:tcPr>
            <w:tcW w:type="dxa" w:w="345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Registers, significance results, objectives and action plans</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Support</w:t>
            </w:r>
          </w:p>
        </w:tc>
        <w:tc>
          <w:tcPr>
            <w:tcW w:type="dxa" w:w="39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Competence, awareness, communication, documented information and monitoring resources.</w:t>
            </w:r>
          </w:p>
        </w:tc>
        <w:tc>
          <w:tcPr>
            <w:tcW w:type="dxa" w:w="345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Training evidence, communications, controlled information, suitable monitoring methods</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Operational Control</w:t>
            </w:r>
          </w:p>
        </w:tc>
        <w:tc>
          <w:tcPr>
            <w:tcW w:type="dxa" w:w="39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Operating criteria, lifecycle perspective, procurement/supplier controls, change control and emergency preparedness.</w:t>
            </w:r>
          </w:p>
        </w:tc>
        <w:tc>
          <w:tcPr>
            <w:tcW w:type="dxa" w:w="345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Operational records, inspections, supplier controls, drill/test evidence</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Performance Evaluation</w:t>
            </w:r>
          </w:p>
        </w:tc>
        <w:tc>
          <w:tcPr>
            <w:tcW w:type="dxa" w:w="39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Monitoring/measurement, data analysis, compliance evaluation, internal audit and management review.</w:t>
            </w:r>
          </w:p>
        </w:tc>
        <w:tc>
          <w:tcPr>
            <w:tcW w:type="dxa" w:w="345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KPI trends, evaluation evidence, audit reports, management decisions</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Improvement</w:t>
            </w:r>
          </w:p>
        </w:tc>
        <w:tc>
          <w:tcPr>
            <w:tcW w:type="dxa" w:w="39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Incident/nonconformity response, corrective action, system updates and continual improvement.</w:t>
            </w:r>
          </w:p>
        </w:tc>
        <w:tc>
          <w:tcPr>
            <w:tcW w:type="dxa" w:w="345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Corrective actions, updated controls/registers and improvement evidence</w:t>
            </w:r>
          </w:p>
        </w:tc>
      </w:tr>
    </w:tbl>
    <w:p>
      <w:pPr>
        <w:pStyle w:val="Heading1"/>
      </w:pPr>
      <w:r>
        <w:rPr>
          <w:rFonts w:ascii="Cambria" w:hAnsi="Cambria" w:eastAsia="Cambria" w:cs="Cambria"/>
          <w:b/>
          <w:i w:val="0"/>
          <w:color w:val="1F4E79"/>
          <w:sz w:val="25"/>
        </w:rPr>
        <w:t>5. Leadership and Environmental Policy</w:t>
      </w:r>
    </w:p>
    <w:p>
      <w:pPr>
        <w:spacing w:before="0" w:after="80" w:line="252" w:lineRule="auto"/>
      </w:pPr>
      <w:r>
        <w:rPr>
          <w:rFonts w:ascii="Cambria" w:hAnsi="Cambria" w:eastAsia="Cambria" w:cs="Cambria"/>
          <w:b w:val="0"/>
          <w:i w:val="0"/>
          <w:color w:val="000000"/>
          <w:sz w:val="20"/>
        </w:rPr>
        <w:t>Top management is accountable for EMS effectiveness, integration with business processes, provision of resources and support for environmental protection, fulfilment of compliance obligations, achievement of environmental objectives and continual improvement. The Environmental Policy establishes the organization’s direction and commitments and is communicated and maintained as controlled documented information.</w:t>
      </w:r>
    </w:p>
    <w:p>
      <w:pPr>
        <w:pStyle w:val="Heading1"/>
      </w:pPr>
      <w:r>
        <w:rPr>
          <w:rFonts w:ascii="Cambria" w:hAnsi="Cambria" w:eastAsia="Cambria" w:cs="Cambria"/>
          <w:b/>
          <w:i w:val="0"/>
          <w:color w:val="1F4E79"/>
          <w:sz w:val="25"/>
        </w:rPr>
        <w:t>6. Planning</w:t>
      </w:r>
    </w:p>
    <w:p>
      <w:pPr>
        <w:pStyle w:val="Heading2"/>
      </w:pPr>
      <w:r>
        <w:rPr>
          <w:rFonts w:ascii="Cambria" w:hAnsi="Cambria" w:eastAsia="Cambria" w:cs="Cambria"/>
          <w:b/>
          <w:i w:val="0"/>
          <w:color w:val="000000"/>
          <w:sz w:val="22"/>
        </w:rPr>
        <w:t>6.1 Environmental Aspects and Impacts</w:t>
      </w:r>
    </w:p>
    <w:p>
      <w:pPr>
        <w:spacing w:before="0" w:after="80" w:line="252" w:lineRule="auto"/>
      </w:pPr>
      <w:r>
        <w:rPr>
          <w:rFonts w:ascii="Cambria" w:hAnsi="Cambria" w:eastAsia="Cambria" w:cs="Cambria"/>
          <w:b w:val="0"/>
          <w:i w:val="0"/>
          <w:color w:val="000000"/>
          <w:sz w:val="20"/>
        </w:rPr>
        <w:t>The organization maintains a systematic method to identify environmental aspects and associated impacts for relevant activities, products and services. The method considers normal, abnormal and reasonably foreseeable emergency conditions, and applies a life-cycle perspective to the extent the organization can control or influence environmental outcomes.</w:t>
      </w:r>
    </w:p>
    <w:p>
      <w:pPr>
        <w:spacing w:before="0" w:after="80" w:line="252" w:lineRule="auto"/>
      </w:pPr>
      <w:r>
        <w:rPr>
          <w:rFonts w:ascii="Cambria" w:hAnsi="Cambria" w:eastAsia="Cambria" w:cs="Cambria"/>
          <w:b w:val="0"/>
          <w:i w:val="0"/>
          <w:color w:val="000000"/>
          <w:sz w:val="20"/>
        </w:rPr>
        <w:t>Significance criteria are defined by the organization and applied consistently. Significant aspects are linked to operational controls, competence/awareness, monitoring, objectives or improvement activities as appropriate.</w:t>
      </w:r>
    </w:p>
    <w:p>
      <w:pPr>
        <w:pStyle w:val="Heading2"/>
      </w:pPr>
      <w:r>
        <w:rPr>
          <w:rFonts w:ascii="Cambria" w:hAnsi="Cambria" w:eastAsia="Cambria" w:cs="Cambria"/>
          <w:b/>
          <w:i w:val="0"/>
          <w:color w:val="000000"/>
          <w:sz w:val="22"/>
        </w:rPr>
        <w:t>6.2 Compliance Obligations</w:t>
      </w:r>
    </w:p>
    <w:p>
      <w:pPr>
        <w:spacing w:before="0" w:after="80" w:line="252" w:lineRule="auto"/>
      </w:pPr>
      <w:r>
        <w:rPr>
          <w:rFonts w:ascii="Cambria" w:hAnsi="Cambria" w:eastAsia="Cambria" w:cs="Cambria"/>
          <w:b w:val="0"/>
          <w:i w:val="0"/>
          <w:color w:val="000000"/>
          <w:sz w:val="20"/>
        </w:rPr>
        <w:t>Applicable environmental legal and other requirements are identified from authoritative sources, assigned to responsible functions, integrated into relevant controls and evaluated at planned intervals. The organization maintains evidence supporting applicability and compliance conclusions.</w:t>
      </w:r>
    </w:p>
    <w:p>
      <w:pPr>
        <w:pStyle w:val="Heading2"/>
      </w:pPr>
      <w:r>
        <w:rPr>
          <w:rFonts w:ascii="Cambria" w:hAnsi="Cambria" w:eastAsia="Cambria" w:cs="Cambria"/>
          <w:b/>
          <w:i w:val="0"/>
          <w:color w:val="000000"/>
          <w:sz w:val="22"/>
        </w:rPr>
        <w:t>6.3 Risks, Opportunities and Objectives</w:t>
      </w:r>
    </w:p>
    <w:p>
      <w:pPr>
        <w:spacing w:before="0" w:after="80" w:line="252" w:lineRule="auto"/>
      </w:pPr>
      <w:r>
        <w:rPr>
          <w:rFonts w:ascii="Cambria" w:hAnsi="Cambria" w:eastAsia="Cambria" w:cs="Cambria"/>
          <w:b w:val="0"/>
          <w:i w:val="0"/>
          <w:color w:val="000000"/>
          <w:sz w:val="20"/>
        </w:rPr>
        <w:t>The EMS addresses risks and opportunities that could affect intended outcomes, including those arising from context, significant aspects and compliance obligations. Environmental objectives are established where useful and are supported by responsibility, actions, resources, timing and methods for evaluating progress.</w:t>
      </w:r>
    </w:p>
    <w:p>
      <w:pPr>
        <w:pStyle w:val="Heading1"/>
      </w:pPr>
      <w:r>
        <w:rPr>
          <w:rFonts w:ascii="Cambria" w:hAnsi="Cambria" w:eastAsia="Cambria" w:cs="Cambria"/>
          <w:b/>
          <w:i w:val="0"/>
          <w:color w:val="1F4E79"/>
          <w:sz w:val="25"/>
        </w:rPr>
        <w:t>7. Support</w:t>
      </w:r>
    </w:p>
    <w:tbl>
      <w:tblPr>
        <w:tblW w:type="auto" w:w="0"/>
        <w:jc w:val="center"/>
        <w:tblLayout w:type="fixed"/>
        <w:tblLook w:val="04A0"/>
      </w:tblPr>
      <w:tblGrid>
        <w:gridCol w:w="4677"/>
        <w:gridCol w:w="4677"/>
      </w:tblGrid>
      <w:tr>
        <w:trPr>
          <w:tblHeader w:val="true"/>
        </w:trPr>
        <w:tc>
          <w:tcPr>
            <w:tcW w:type="dxa" w:w="243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Support Element</w:t>
            </w:r>
          </w:p>
        </w:tc>
        <w:tc>
          <w:tcPr>
            <w:tcW w:type="dxa" w:w="691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Operating Expectation</w:t>
            </w:r>
          </w:p>
        </w:tc>
      </w:tr>
      <w:tr>
        <w:trPr>
          <w:cantSplit/>
        </w:trPr>
        <w:tc>
          <w:tcPr>
            <w:tcW w:type="dxa" w:w="243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Resources</w:t>
            </w:r>
          </w:p>
        </w:tc>
        <w:tc>
          <w:tcPr>
            <w:tcW w:type="dxa" w:w="691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Provide people, infrastructure, monitoring capability, budget and specialist support needed for EMS operation.</w:t>
            </w:r>
          </w:p>
        </w:tc>
      </w:tr>
      <w:tr>
        <w:trPr>
          <w:cantSplit/>
        </w:trPr>
        <w:tc>
          <w:tcPr>
            <w:tcW w:type="dxa" w:w="243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Competence</w:t>
            </w:r>
          </w:p>
        </w:tc>
        <w:tc>
          <w:tcPr>
            <w:tcW w:type="dxa" w:w="691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Define competence for environmentally significant roles and maintain appropriate evidence.</w:t>
            </w:r>
          </w:p>
        </w:tc>
      </w:tr>
      <w:tr>
        <w:trPr>
          <w:cantSplit/>
        </w:trPr>
        <w:tc>
          <w:tcPr>
            <w:tcW w:type="dxa" w:w="243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Awareness</w:t>
            </w:r>
          </w:p>
        </w:tc>
        <w:tc>
          <w:tcPr>
            <w:tcW w:type="dxa" w:w="691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Relevant personnel understand the policy, significant aspects, controls, responsibilities and consequences of deviation.</w:t>
            </w:r>
          </w:p>
        </w:tc>
      </w:tr>
      <w:tr>
        <w:trPr>
          <w:cantSplit/>
        </w:trPr>
        <w:tc>
          <w:tcPr>
            <w:tcW w:type="dxa" w:w="243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Communication</w:t>
            </w:r>
          </w:p>
        </w:tc>
        <w:tc>
          <w:tcPr>
            <w:tcW w:type="dxa" w:w="691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Define what, when, with whom and how environmental information is communicated internally and externally.</w:t>
            </w:r>
          </w:p>
        </w:tc>
      </w:tr>
      <w:tr>
        <w:trPr>
          <w:cantSplit/>
        </w:trPr>
        <w:tc>
          <w:tcPr>
            <w:tcW w:type="dxa" w:w="243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Documented Information</w:t>
            </w:r>
          </w:p>
        </w:tc>
        <w:tc>
          <w:tcPr>
            <w:tcW w:type="dxa" w:w="691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Create, approve, update, protect, distribute, retain and dispose of EMS documents/records in a controlled manner.</w:t>
            </w:r>
          </w:p>
        </w:tc>
      </w:tr>
    </w:tbl>
    <w:p>
      <w:pPr>
        <w:pStyle w:val="Heading1"/>
      </w:pPr>
      <w:r>
        <w:rPr>
          <w:rFonts w:ascii="Cambria" w:hAnsi="Cambria" w:eastAsia="Cambria" w:cs="Cambria"/>
          <w:b/>
          <w:i w:val="0"/>
          <w:color w:val="1F4E79"/>
          <w:sz w:val="25"/>
        </w:rPr>
        <w:t>8. Operational Framework</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Operational Element</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Practical Control Expectation</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Operating criteria</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Define conditions, limits, methods or checks needed to control significant aspects and compliance obligations.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Life-cycle perspective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Consider environmental effects in procurement, design/development, transport, use and end-of-life where the organization can control or influence outcomes.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Procurement / suppliers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Communicate relevant environmental requirements and apply proportionate controls to external providers.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Management of change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Review EMS implications before planned changes and respond to unintended changes.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Waste / emissions / discharges / resource use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Apply site/process controls relevant to the organization’s significant environmental aspects.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Emergency preparedness and response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Identify credible environmental emergencies, establish response arrangements, test where practicable and address lessons learned.</w:t>
            </w:r>
          </w:p>
        </w:tc>
      </w:tr>
    </w:tbl>
    <w:p>
      <w:pPr>
        <w:pStyle w:val="Heading1"/>
      </w:pPr>
      <w:r>
        <w:rPr>
          <w:rFonts w:ascii="Cambria" w:hAnsi="Cambria" w:eastAsia="Cambria" w:cs="Cambria"/>
          <w:b/>
          <w:i w:val="0"/>
          <w:color w:val="1F4E79"/>
          <w:sz w:val="25"/>
        </w:rPr>
        <w:t>9. Performance Evaluation</w:t>
      </w:r>
    </w:p>
    <w:p>
      <w:pPr>
        <w:spacing w:before="0" w:after="80" w:line="252" w:lineRule="auto"/>
      </w:pPr>
      <w:r>
        <w:rPr>
          <w:rFonts w:ascii="Cambria" w:hAnsi="Cambria" w:eastAsia="Cambria" w:cs="Cambria"/>
          <w:b w:val="0"/>
          <w:i w:val="0"/>
          <w:color w:val="000000"/>
          <w:sz w:val="20"/>
        </w:rPr>
        <w:t>Environmental performance and control effectiveness are monitored and measured using defined methods and suitable data. Results are analyzed and evaluated to support decisions, detect adverse trends and demonstrate progress against objectives.</w:t>
      </w:r>
    </w:p>
    <w:p>
      <w:pPr>
        <w:spacing w:before="0" w:after="80" w:line="252" w:lineRule="auto"/>
      </w:pPr>
      <w:r>
        <w:rPr>
          <w:rFonts w:ascii="Cambria" w:hAnsi="Cambria" w:eastAsia="Cambria" w:cs="Cambria"/>
          <w:b w:val="0"/>
          <w:i w:val="0"/>
          <w:color w:val="000000"/>
          <w:sz w:val="20"/>
        </w:rPr>
        <w:t>Compliance with applicable obligations is evaluated at planned intervals using objective evidence. Internal audits provide independent assurance over EMS implementation and effectiveness. Top management conducts management review to consider changes, performance, compliance, resources, audit results, objectives, risks/opportunities and improvement needs.</w:t>
      </w:r>
    </w:p>
    <w:p>
      <w:pPr>
        <w:pStyle w:val="Heading1"/>
      </w:pPr>
      <w:r>
        <w:rPr>
          <w:rFonts w:ascii="Cambria" w:hAnsi="Cambria" w:eastAsia="Cambria" w:cs="Cambria"/>
          <w:b/>
          <w:i w:val="0"/>
          <w:color w:val="1F4E79"/>
          <w:sz w:val="25"/>
        </w:rPr>
        <w:t>10. Improvement</w:t>
      </w:r>
    </w:p>
    <w:p>
      <w:pPr>
        <w:spacing w:before="0" w:after="80" w:line="252" w:lineRule="auto"/>
      </w:pPr>
      <w:r>
        <w:rPr>
          <w:rFonts w:ascii="Cambria" w:hAnsi="Cambria" w:eastAsia="Cambria" w:cs="Cambria"/>
          <w:b w:val="0"/>
          <w:i w:val="0"/>
          <w:color w:val="000000"/>
          <w:sz w:val="20"/>
        </w:rPr>
        <w:t>Environmental incidents and nonconformities are responded to, corrected or contained where necessary, investigated proportionately and used to identify corrective actions. The organization updates aspects, risks, controls, objectives or documented information when evidence indicates that the system should change. Continual improvement is demonstrated through measurable improvement in EMS effectiveness and, where practicable, environmental performance.</w:t>
      </w:r>
    </w:p>
    <w:p>
      <w:pPr>
        <w:pStyle w:val="Heading1"/>
      </w:pPr>
      <w:r>
        <w:rPr>
          <w:rFonts w:ascii="Cambria" w:hAnsi="Cambria" w:eastAsia="Cambria" w:cs="Cambria"/>
          <w:b/>
          <w:i w:val="0"/>
          <w:color w:val="1F4E79"/>
          <w:sz w:val="25"/>
        </w:rPr>
        <w:t>11. Documented Information Structure</w:t>
      </w:r>
    </w:p>
    <w:tbl>
      <w:tblPr>
        <w:tblW w:type="auto" w:w="0"/>
        <w:jc w:val="center"/>
        <w:tblLayout w:type="fixed"/>
        <w:tblLook w:val="04A0"/>
      </w:tblPr>
      <w:tblGrid>
        <w:gridCol w:w="3118"/>
        <w:gridCol w:w="3118"/>
        <w:gridCol w:w="3118"/>
      </w:tblGrid>
      <w:tr>
        <w:trPr>
          <w:tblHeader w:val="true"/>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Level / Type</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Purpose</w:t>
            </w:r>
          </w:p>
        </w:tc>
        <w:tc>
          <w:tcPr>
            <w:tcW w:type="dxa" w:w="42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Examples</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Policy / Manual</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Direction and system framework.</w:t>
            </w:r>
          </w:p>
        </w:tc>
        <w:tc>
          <w:tcPr>
            <w:tcW w:type="dxa" w:w="42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Environmental Policy; Environmental Management Manual</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Procedures / Guidance</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Consistent methods and decision rules.</w:t>
            </w:r>
          </w:p>
        </w:tc>
        <w:tc>
          <w:tcPr>
            <w:tcW w:type="dxa" w:w="42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Aspect evaluation, compliance obligations, operational control, audit, management review</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Registers / Plans</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Current controlled management information.</w:t>
            </w:r>
          </w:p>
        </w:tc>
        <w:tc>
          <w:tcPr>
            <w:tcW w:type="dxa" w:w="42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Aspects/impacts, compliance obligations, objectives, emergency plans, action plans</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Forms / Logs / Records</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Objective evidence of operation and decisions.</w:t>
            </w:r>
          </w:p>
        </w:tc>
        <w:tc>
          <w:tcPr>
            <w:tcW w:type="dxa" w:w="42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Monitoring logs, inspections, incident records, drill records, audit reports, minutes</w:t>
            </w:r>
          </w:p>
        </w:tc>
      </w:tr>
    </w:tbl>
    <w:p>
      <w:pPr>
        <w:pStyle w:val="Heading1"/>
      </w:pPr>
      <w:r>
        <w:rPr>
          <w:rFonts w:ascii="Cambria" w:hAnsi="Cambria" w:eastAsia="Cambria" w:cs="Cambria"/>
          <w:b/>
          <w:i w:val="0"/>
          <w:color w:val="1F4E79"/>
          <w:sz w:val="25"/>
        </w:rPr>
        <w:t>12. EMS Operating Rhythm</w:t>
      </w:r>
    </w:p>
    <w:tbl>
      <w:tblPr>
        <w:tblW w:type="auto" w:w="0"/>
        <w:jc w:val="center"/>
        <w:tblLayout w:type="fixed"/>
        <w:tblLook w:val="04A0"/>
      </w:tblPr>
      <w:tblGrid>
        <w:gridCol w:w="3118"/>
        <w:gridCol w:w="3118"/>
        <w:gridCol w:w="3118"/>
      </w:tblGrid>
      <w:tr>
        <w:trPr>
          <w:tblHeader w:val="true"/>
        </w:trPr>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Frequency / Trigger</w:t>
            </w:r>
          </w:p>
        </w:tc>
        <w:tc>
          <w:tcPr>
            <w:tcW w:type="dxa" w:w="40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Typical Management Activity</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Evidence</w:t>
            </w:r>
          </w:p>
        </w:tc>
      </w:tr>
      <w:tr>
        <w:trPr>
          <w:cantSplit/>
        </w:trPr>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Routine / Operational</w:t>
            </w:r>
          </w:p>
        </w:tc>
        <w:tc>
          <w:tcPr>
            <w:tcW w:type="dxa" w:w="40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Operate environmental controls, inspections, monitoring and issue escalation.</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Logs, monitoring data, work records, corrective actions</w:t>
            </w:r>
          </w:p>
        </w:tc>
      </w:tr>
      <w:tr>
        <w:trPr>
          <w:cantSplit/>
        </w:trPr>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Monthly / Periodic</w:t>
            </w:r>
          </w:p>
        </w:tc>
        <w:tc>
          <w:tcPr>
            <w:tcW w:type="dxa" w:w="40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Review environmental KPI trends, incidents, significant-aspect controls and overdue actions.</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Performance review / dashboard</w:t>
            </w:r>
          </w:p>
        </w:tc>
      </w:tr>
      <w:tr>
        <w:trPr>
          <w:cantSplit/>
        </w:trPr>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Planned intervals</w:t>
            </w:r>
          </w:p>
        </w:tc>
        <w:tc>
          <w:tcPr>
            <w:tcW w:type="dxa" w:w="40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Evaluate compliance obligations and complete risk-based internal audits.</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Compliance evaluations and audit reports</w:t>
            </w:r>
          </w:p>
        </w:tc>
      </w:tr>
      <w:tr>
        <w:trPr>
          <w:cantSplit/>
        </w:trPr>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At least on the organization’s defined cycle</w:t>
            </w:r>
          </w:p>
        </w:tc>
        <w:tc>
          <w:tcPr>
            <w:tcW w:type="dxa" w:w="40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Conduct management review and revalidate context, objectives and resource needs.</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Management review decisions/actions</w:t>
            </w:r>
          </w:p>
        </w:tc>
      </w:tr>
      <w:tr>
        <w:trPr>
          <w:cantSplit/>
        </w:trPr>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On significant change / incident</w:t>
            </w:r>
          </w:p>
        </w:tc>
        <w:tc>
          <w:tcPr>
            <w:tcW w:type="dxa" w:w="40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Reassess aspects, risks/opportunities, obligations, controls and competence needs.</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Change/incident review and updated EMS information</w:t>
            </w:r>
          </w:p>
        </w:tc>
      </w:tr>
    </w:tbl>
    <w:p>
      <w:pPr>
        <w:pStyle w:val="Heading1"/>
      </w:pPr>
      <w:r>
        <w:rPr>
          <w:rFonts w:ascii="Cambria" w:hAnsi="Cambria" w:eastAsia="Cambria" w:cs="Cambria"/>
          <w:b/>
          <w:i w:val="0"/>
          <w:color w:val="1F4E79"/>
          <w:sz w:val="25"/>
        </w:rPr>
        <w:t>13. References</w:t>
      </w:r>
    </w:p>
    <w:p>
      <w:pPr>
        <w:pStyle w:val="ListBullet"/>
        <w:spacing w:before="0" w:after="40" w:line="252" w:lineRule="auto"/>
      </w:pPr>
      <w:r>
        <w:rPr>
          <w:rFonts w:ascii="Cambria" w:hAnsi="Cambria" w:eastAsia="Cambria" w:cs="Cambria"/>
          <w:b w:val="0"/>
          <w:i w:val="0"/>
          <w:color w:val="000000"/>
          <w:sz w:val="20"/>
        </w:rPr>
        <w:t>ISO 14001:2026 - Environmental management systems - Requirements with guidance for use.</w:t>
      </w:r>
    </w:p>
    <w:p>
      <w:pPr>
        <w:pStyle w:val="Heading1"/>
      </w:pPr>
      <w:r>
        <w:rPr>
          <w:rFonts w:ascii="Cambria" w:hAnsi="Cambria" w:eastAsia="Cambria" w:cs="Cambria"/>
          <w:b/>
          <w:i w:val="0"/>
          <w:color w:val="1F4E79"/>
          <w:sz w:val="25"/>
        </w:rPr>
        <w:t>Approval and Revision</w:t>
      </w:r>
    </w:p>
    <w:tbl>
      <w:tblPr>
        <w:tblW w:type="auto" w:w="0"/>
        <w:jc w:val="center"/>
        <w:tblLayout w:type="fixed"/>
        <w:tblLook w:val="04A0"/>
      </w:tblPr>
      <w:tblGrid>
        <w:gridCol w:w="2339"/>
        <w:gridCol w:w="2339"/>
        <w:gridCol w:w="2339"/>
        <w:gridCol w:w="2339"/>
      </w:tblGrid>
      <w:tr>
        <w:trPr>
          <w:tblHeader w:val="true"/>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Role</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Name / Position</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Approval / Signature</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Date</w:t>
            </w:r>
          </w:p>
        </w:tc>
      </w:tr>
      <w:tr>
        <w:trPr>
          <w:cantSplit/>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Prepared / Maintained by</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EMS Manager / Environmental Manager</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r>
      <w:tr>
        <w:trPr>
          <w:cantSplit/>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Reviewed by</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[REVIEWER / FUNCTION]</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r>
      <w:tr>
        <w:trPr>
          <w:cantSplit/>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Approved by</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Top Management</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r>
    </w:tbl>
    <w:p>
      <w:pPr>
        <w:pStyle w:val="Heading2"/>
      </w:pPr>
      <w:r>
        <w:rPr>
          <w:rFonts w:ascii="Cambria" w:hAnsi="Cambria" w:eastAsia="Cambria" w:cs="Cambria"/>
          <w:b/>
          <w:i w:val="0"/>
          <w:color w:val="000000"/>
          <w:sz w:val="22"/>
        </w:rPr>
        <w:t>Revision History</w:t>
      </w:r>
    </w:p>
    <w:tbl>
      <w:tblPr>
        <w:tblW w:type="auto" w:w="0"/>
        <w:jc w:val="center"/>
        <w:tblLayout w:type="fixed"/>
        <w:tblLook w:val="04A0"/>
      </w:tblPr>
      <w:tblGrid>
        <w:gridCol w:w="3118"/>
        <w:gridCol w:w="3118"/>
        <w:gridCol w:w="3118"/>
      </w:tblGrid>
      <w:tr>
        <w:trPr>
          <w:tblHeader w:val="true"/>
        </w:trPr>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Version</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Date</w:t>
            </w:r>
          </w:p>
        </w:tc>
        <w:tc>
          <w:tcPr>
            <w:tcW w:type="dxa" w:w="59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Description</w:t>
            </w:r>
          </w:p>
        </w:tc>
      </w:tr>
      <w:tr>
        <w:trPr>
          <w:cantSplit/>
        </w:trPr>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1.0</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2026-09-18</w:t>
            </w:r>
          </w:p>
        </w:tc>
        <w:tc>
          <w:tcPr>
            <w:tcW w:type="dxa" w:w="59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Initial issue</w:t>
            </w:r>
          </w:p>
        </w:tc>
      </w:tr>
    </w:tbl>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before="0" w:after="20" w:line="252" w:lineRule="auto"/>
      <w:jc w:val="center"/>
    </w:pPr>
    <w:r>
      <w:rPr>
        <w:rFonts w:ascii="Cambria" w:hAnsi="Cambria" w:eastAsia="Cambria" w:cs="Cambria"/>
        <w:b w:val="0"/>
        <w:i w:val="0"/>
        <w:color w:val="666666"/>
        <w:sz w:val="16"/>
      </w:rPr>
      <w:t>Copyright © ISO Toolkits | www.iso-toolkits.org | info@iso-toolkits.org</w:t>
    </w:r>
  </w:p>
  <w:p>
    <w:pPr>
      <w:spacing w:before="0" w:after="0" w:line="252" w:lineRule="auto"/>
      <w:jc w:val="center"/>
    </w:pPr>
    <w:r>
      <w:rPr>
        <w:rFonts w:ascii="Cambria" w:hAnsi="Cambria" w:eastAsia="Cambria" w:cs="Cambria"/>
        <w:b w:val="0"/>
        <w:i w:val="0"/>
        <w:color w:val="666666"/>
        <w:sz w:val="16"/>
      </w:rPr>
      <w:t xml:space="preserve">CONTROLLED DOCUMENT | INTERNAL | Page </w:t>
    </w:r>
    <w:r>
      <w:rPr>
        <w:rFonts w:ascii="Cambria" w:hAnsi="Cambria" w:eastAsia="Cambria" w:cs="Cambria"/>
        <w:b w:val="0"/>
        <w:i w:val="0"/>
        <w:color w:val="666666"/>
        <w:sz w:val="16"/>
      </w:rPr>
      <w:fldChar w:fldCharType="begin"/>
      <w:instrText xml:space="preserve"> PAGE </w:instrText>
      <w:fldChar w:fldCharType="separate"/>
      <w:t>1</w:t>
      <w:fldChar w:fldCharType="end"/>
    </w:r>
    <w:r>
      <w:rPr>
        <w:rFonts w:ascii="Cambria" w:hAnsi="Cambria" w:eastAsia="Cambria" w:cs="Cambria"/>
        <w:b w:val="0"/>
        <w:i w:val="0"/>
        <w:color w:val="666666"/>
        <w:sz w:val="16"/>
      </w:rPr>
      <w:t xml:space="preserve"> of </w:t>
    </w:r>
    <w:r>
      <w:rPr>
        <w:rFonts w:ascii="Cambria" w:hAnsi="Cambria" w:eastAsia="Cambria" w:cs="Cambria"/>
        <w:b w:val="0"/>
        <w:i w:val="0"/>
        <w:color w:val="666666"/>
        <w:sz w:val="16"/>
      </w:rPr>
      <w:fldChar w:fldCharType="begin"/>
      <w:instrText xml:space="preserve"> NUMPAGES </w:instrText>
      <w:fldChar w:fldCharType="separate"/>
      <w:t>1</w:t>
      <w:fldChar w:fldCharType="end"/>
    </w:r>
  </w:p>
</w:ftr>
</file>

<file path=word/header1.xml><?xml version="1.0" encoding="utf-8"?>
<w:hdr xmlns:w="http://schemas.openxmlformats.org/wordprocessingml/2006/main">
  <w:p>
    <w:pPr>
      <w:pStyle w:val="Header"/>
      <w:spacing w:after="0"/>
    </w:pPr>
    <w:r/>
  </w:p>
  <w:tbl>
    <w:tblPr>
      <w:tblW w:type="auto" w:w="0"/>
      <w:jc w:val="center"/>
      <w:tblLook w:val="04A0"/>
    </w:tblPr>
    <w:tblGrid>
      <w:gridCol w:w="3118"/>
      <w:gridCol w:w="3118"/>
      <w:gridCol w:w="3118"/>
    </w:tblGrid>
    <w:tr>
      <w:tc>
        <w:tcPr>
          <w:tcW w:type="dxa" w:w="1814"/>
          <w:tcBorders>
            <w:top w:val="single" w:sz="3" w:space="0" w:color="B7C9D6"/>
            <w:left w:val="single" w:sz="3" w:space="0" w:color="B7C9D6"/>
            <w:bottom w:val="single" w:sz="3" w:space="0" w:color="B7C9D6"/>
            <w:right w:val="single" w:sz="3" w:space="0" w:color="B7C9D6"/>
            <w:insideH w:val="single" w:sz="3" w:space="0" w:color="B7C9D6"/>
            <w:insideV w:val="single" w:sz="3" w:space="0" w:color="B7C9D6"/>
          </w:tcBorders>
          <w:shd w:fill="F2F2F2" w:val="clear"/>
          <w:tcMar>
            <w:top w:w="50" w:type="dxa"/>
            <w:left w:w="70" w:type="dxa"/>
            <w:bottom w:w="50" w:type="dxa"/>
            <w:right w:w="70" w:type="dxa"/>
          </w:tcMar>
          <w:vAlign w:val="center"/>
        </w:tcPr>
        <w:p>
          <w:pPr>
            <w:jc w:val="center"/>
          </w:pPr>
          <w:r>
            <w:rPr>
              <w:rFonts w:ascii="Cambria" w:hAnsi="Cambria" w:eastAsia="Cambria" w:cs="Cambria"/>
              <w:b/>
              <w:i w:val="0"/>
              <w:color w:val="666666"/>
              <w:sz w:val="15"/>
            </w:rPr>
            <w:t>ORGANIZATION</w:t>
            <w:br/>
            <w:t>LOGO</w:t>
          </w:r>
        </w:p>
      </w:tc>
      <w:tc>
        <w:tcPr>
          <w:tcW w:type="dxa" w:w="5215"/>
          <w:tcBorders>
            <w:top w:val="single" w:sz="3" w:space="0" w:color="B7C9D6"/>
            <w:left w:val="single" w:sz="3" w:space="0" w:color="B7C9D6"/>
            <w:bottom w:val="single" w:sz="3" w:space="0" w:color="B7C9D6"/>
            <w:right w:val="single" w:sz="3" w:space="0" w:color="B7C9D6"/>
            <w:insideH w:val="single" w:sz="3" w:space="0" w:color="B7C9D6"/>
            <w:insideV w:val="single" w:sz="3" w:space="0" w:color="B7C9D6"/>
          </w:tcBorders>
          <w:shd w:fill="EAF3F8" w:val="clear"/>
          <w:tcMar>
            <w:top w:w="50" w:type="dxa"/>
            <w:left w:w="70" w:type="dxa"/>
            <w:bottom w:w="50" w:type="dxa"/>
            <w:right w:w="70" w:type="dxa"/>
          </w:tcMar>
          <w:vAlign w:val="center"/>
        </w:tcPr>
        <w:p>
          <w:pPr>
            <w:jc w:val="center"/>
          </w:pPr>
          <w:r>
            <w:rPr>
              <w:rFonts w:ascii="Cambria" w:hAnsi="Cambria" w:eastAsia="Cambria" w:cs="Cambria"/>
              <w:b/>
              <w:i w:val="0"/>
              <w:color w:val="1F4E79"/>
              <w:sz w:val="17"/>
            </w:rPr>
            <w:t>[ORGANIZATION NAME]</w:t>
            <w:br/>
            <w:t>Environmental Management Manual</w:t>
          </w:r>
        </w:p>
      </w:tc>
      <w:tc>
        <w:tcPr>
          <w:tcW w:type="dxa" w:w="2324"/>
          <w:tcBorders>
            <w:top w:val="single" w:sz="3" w:space="0" w:color="B7C9D6"/>
            <w:left w:val="single" w:sz="3" w:space="0" w:color="B7C9D6"/>
            <w:bottom w:val="single" w:sz="3" w:space="0" w:color="B7C9D6"/>
            <w:right w:val="single" w:sz="3" w:space="0" w:color="B7C9D6"/>
            <w:insideH w:val="single" w:sz="3" w:space="0" w:color="B7C9D6"/>
            <w:insideV w:val="single" w:sz="3" w:space="0" w:color="B7C9D6"/>
          </w:tcBorders>
          <w:shd w:fill="F2F2F2" w:val="clear"/>
          <w:tcMar>
            <w:top w:w="50" w:type="dxa"/>
            <w:left w:w="70" w:type="dxa"/>
            <w:bottom w:w="50" w:type="dxa"/>
            <w:right w:w="70" w:type="dxa"/>
          </w:tcMar>
          <w:vAlign w:val="center"/>
        </w:tcPr>
        <w:p>
          <w:pPr>
            <w:jc w:val="center"/>
          </w:pPr>
          <w:r>
            <w:rPr>
              <w:rFonts w:ascii="Cambria" w:hAnsi="Cambria" w:eastAsia="Cambria" w:cs="Cambria"/>
              <w:b/>
              <w:i w:val="0"/>
              <w:color w:val="000000"/>
              <w:sz w:val="15"/>
            </w:rPr>
            <w:t>EMS-MAN-001</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eastAsia="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Cambria" w:hAnsi="Cambria" w:eastAsia="Cambria"/>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Cambria" w:hAnsi="Cambria" w:eastAsia="Cambria"/>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mbria" w:hAnsi="Cambria" w:eastAsia="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itle>Environmental Management Manual</dc:title>
  <dc:subject>Concise system-level description of the Environmental Management System.</dc:subject>
  <dc:creator>ISO Toolkits</dc:creator>
  <cp:keywords>ISO 14001:2026; environmental management system; EMS; Environmental Management Manual</cp:keywords>
  <dc:description>ISO Toolkits practical template. www.iso-toolkits.org | info@iso-toolkits.org</dc:description>
  <cp:lastModifiedBy/>
  <cp:revision>1</cp:revision>
  <dcterms:created xsi:type="dcterms:W3CDTF">2013-12-23T23:15:00Z</dcterms:created>
  <dcterms:modified xsi:type="dcterms:W3CDTF">2013-12-23T23:15:00Z</dcterms:modified>
  <cp:category/>
</cp:coreProperties>
</file>