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r="http://schemas.openxmlformats.org/officeDocument/2006/relationships" xmlns:w="http://schemas.openxmlformats.org/wordprocessingml/2006/main">
  <w:body>
    <w:p>
      <w:pPr>
        <w:pStyle w:val="Title"/>
        <w:jc w:val="left"/>
      </w:pPr>
      <w:r>
        <w:rPr>
          <w:rFonts w:ascii="Cambria" w:hAnsi="Cambria" w:eastAsia="Cambria" w:cs="Cambria"/>
          <w:b/>
          <w:i w:val="0"/>
          <w:color w:val="1F4E79"/>
          <w:sz w:val="40"/>
        </w:rPr>
        <w:t>ENVIRONMENTAL GAP ANALYSIS GUIDANCE</w:t>
      </w:r>
    </w:p>
    <w:p>
      <w:pPr>
        <w:spacing w:before="0" w:after="160" w:line="252" w:lineRule="auto"/>
      </w:pPr>
      <w:r>
        <w:rPr>
          <w:rFonts w:ascii="Cambria" w:hAnsi="Cambria" w:eastAsia="Cambria" w:cs="Cambria"/>
          <w:b/>
          <w:i w:val="0"/>
          <w:color w:val="000000"/>
          <w:sz w:val="22"/>
        </w:rPr>
        <w:t>ISO 14001:2026</w:t>
      </w:r>
    </w:p>
    <w:tbl>
      <w:tblPr>
        <w:tblW w:type="auto" w:w="0"/>
        <w:jc w:val="center"/>
        <w:tblLayout w:type="fixed"/>
        <w:tblLook w:val="04A0"/>
      </w:tblPr>
      <w:tblGrid>
        <w:gridCol w:w="2339"/>
        <w:gridCol w:w="2339"/>
        <w:gridCol w:w="2339"/>
        <w:gridCol w:w="2339"/>
      </w:tblGrid>
      <w:tr>
        <w:tc>
          <w:tcPr>
            <w:tcW w:type="dxa" w:w="153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r/>
            <w:r>
              <w:rPr>
                <w:rFonts w:ascii="Cambria" w:hAnsi="Cambria" w:eastAsia="Cambria" w:cs="Cambria"/>
                <w:b/>
                <w:i w:val="0"/>
                <w:color w:val="000000"/>
                <w:sz w:val="17"/>
              </w:rPr>
              <w:t>Document Owner</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EMS Manager / Environmental Manager</w:t>
            </w:r>
          </w:p>
        </w:tc>
        <w:tc>
          <w:tcPr>
            <w:tcW w:type="dxa" w:w="153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r/>
            <w:r>
              <w:rPr>
                <w:rFonts w:ascii="Cambria" w:hAnsi="Cambria" w:eastAsia="Cambria" w:cs="Cambria"/>
                <w:b/>
                <w:i w:val="0"/>
                <w:color w:val="000000"/>
                <w:sz w:val="17"/>
              </w:rPr>
              <w:t>Approver</w:t>
            </w:r>
          </w:p>
        </w:tc>
        <w:tc>
          <w:tcPr>
            <w:tcW w:type="dxa" w:w="31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Top Management</w:t>
            </w:r>
          </w:p>
        </w:tc>
      </w:tr>
      <w:tr>
        <w:tc>
          <w:tcPr>
            <w:tcW w:type="dxa" w:w="153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r/>
            <w:r>
              <w:rPr>
                <w:rFonts w:ascii="Cambria" w:hAnsi="Cambria" w:eastAsia="Cambria" w:cs="Cambria"/>
                <w:b/>
                <w:i w:val="0"/>
                <w:color w:val="000000"/>
                <w:sz w:val="17"/>
              </w:rPr>
              <w:t>Classification</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INTERNAL</w:t>
            </w:r>
          </w:p>
        </w:tc>
        <w:tc>
          <w:tcPr>
            <w:tcW w:type="dxa" w:w="153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r/>
            <w:r>
              <w:rPr>
                <w:rFonts w:ascii="Cambria" w:hAnsi="Cambria" w:eastAsia="Cambria" w:cs="Cambria"/>
                <w:b/>
                <w:i w:val="0"/>
                <w:color w:val="000000"/>
                <w:sz w:val="17"/>
              </w:rPr>
              <w:t>Next Review</w:t>
            </w:r>
          </w:p>
        </w:tc>
        <w:tc>
          <w:tcPr>
            <w:tcW w:type="dxa" w:w="31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2027-09-18</w:t>
            </w:r>
          </w:p>
        </w:tc>
      </w:tr>
    </w:tbl>
    <w:p/>
    <w:p>
      <w:pPr>
        <w:pStyle w:val="Heading1"/>
      </w:pPr>
      <w:r>
        <w:rPr>
          <w:rFonts w:ascii="Cambria" w:hAnsi="Cambria" w:eastAsia="Cambria" w:cs="Cambria"/>
          <w:b/>
          <w:i w:val="0"/>
          <w:color w:val="1F4E79"/>
          <w:sz w:val="25"/>
        </w:rPr>
        <w:t>1. Purpose and Use</w:t>
      </w:r>
    </w:p>
    <w:p>
      <w:pPr>
        <w:spacing w:before="0" w:after="80" w:line="252" w:lineRule="auto"/>
      </w:pPr>
      <w:r>
        <w:rPr>
          <w:rFonts w:ascii="Cambria" w:hAnsi="Cambria" w:eastAsia="Cambria" w:cs="Cambria"/>
          <w:b w:val="0"/>
          <w:i w:val="0"/>
          <w:color w:val="000000"/>
          <w:sz w:val="20"/>
        </w:rPr>
        <w:t>Use this guidance to assess the current Environmental Management System (EMS), gather objective evidence, identify material gaps and convert them into prioritized actions. It is designed to be used with the Environmental Gap Analysis and Environmental Gap Analysis Action Plan workbooks.</w:t>
      </w:r>
    </w:p>
    <w:p>
      <w:pPr>
        <w:spacing w:before="0" w:after="80" w:line="252" w:lineRule="auto"/>
      </w:pPr>
      <w:r>
        <w:rPr>
          <w:rFonts w:ascii="Cambria" w:hAnsi="Cambria" w:eastAsia="Cambria" w:cs="Cambria"/>
          <w:b w:val="0"/>
          <w:i w:val="0"/>
          <w:color w:val="000000"/>
          <w:sz w:val="20"/>
        </w:rPr>
        <w:t>This document is an implementation aid. It does not replace the licensed ISO 14001:2026 standard, applicable environmental legal or permit requirements, competent technical advice, or a certification audit.</w:t>
      </w:r>
    </w:p>
    <w:p>
      <w:pPr>
        <w:pStyle w:val="Heading1"/>
      </w:pPr>
      <w:r>
        <w:rPr>
          <w:rFonts w:ascii="Cambria" w:hAnsi="Cambria" w:eastAsia="Cambria" w:cs="Cambria"/>
          <w:b/>
          <w:i w:val="0"/>
          <w:color w:val="1F4E79"/>
          <w:sz w:val="25"/>
        </w:rPr>
        <w:t>2. Assessment Workflow</w:t>
      </w:r>
    </w:p>
    <w:tbl>
      <w:tblPr>
        <w:tblW w:type="auto" w:w="0"/>
        <w:jc w:val="center"/>
        <w:tblLayout w:type="fixed"/>
        <w:tblLook w:val="04A0"/>
      </w:tblPr>
      <w:tblGrid>
        <w:gridCol w:w="3118"/>
        <w:gridCol w:w="3118"/>
        <w:gridCol w:w="3118"/>
      </w:tblGrid>
      <w:tr>
        <w:trPr>
          <w:tblHeader w:val="true"/>
        </w:trPr>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Step</w:t>
            </w:r>
          </w:p>
        </w:tc>
        <w:tc>
          <w:tcPr>
            <w:tcW w:type="dxa" w:w="493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What to Do</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Practical Output</w:t>
            </w:r>
          </w:p>
        </w:tc>
      </w:tr>
      <w:tr>
        <w:trPr>
          <w:cantSplit/>
        </w:trPr>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1. Confirm scope</w:t>
            </w:r>
          </w:p>
        </w:tc>
        <w:tc>
          <w:tcPr>
            <w:tcW w:type="dxa" w:w="493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Define sites, activities, products/services, functions, interfaces, evidence period and assessment contacts.</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Assessment scope and evidence plan</w:t>
            </w:r>
          </w:p>
        </w:tc>
      </w:tr>
      <w:tr>
        <w:trPr>
          <w:cantSplit/>
        </w:trPr>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2. Prepare</w:t>
            </w:r>
          </w:p>
        </w:tc>
        <w:tc>
          <w:tcPr>
            <w:tcW w:type="dxa" w:w="493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Review context, interested parties, aspects/impacts, compliance obligations, objectives, incidents, changes, prior audits and performance data.</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Focus areas and evidence request</w:t>
            </w:r>
          </w:p>
        </w:tc>
      </w:tr>
      <w:tr>
        <w:trPr>
          <w:cantSplit/>
        </w:trPr>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3. Gather evidence</w:t>
            </w:r>
          </w:p>
        </w:tc>
        <w:tc>
          <w:tcPr>
            <w:tcW w:type="dxa" w:w="493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Use observation, interviews, documents, records and monitoring data; sample actual operations, not documents alone.</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Objective evidence notes</w:t>
            </w:r>
          </w:p>
        </w:tc>
      </w:tr>
      <w:tr>
        <w:trPr>
          <w:cantSplit/>
        </w:trPr>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4. Rate current state</w:t>
            </w:r>
          </w:p>
        </w:tc>
        <w:tc>
          <w:tcPr>
            <w:tcW w:type="dxa" w:w="493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Use Conforming, Partially Conforming, Nonconforming, Not Assessed or N/A based on evidence.</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Current-state rating</w:t>
            </w:r>
          </w:p>
        </w:tc>
      </w:tr>
      <w:tr>
        <w:trPr>
          <w:cantSplit/>
        </w:trPr>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5. Describe the gap</w:t>
            </w:r>
          </w:p>
        </w:tc>
        <w:tc>
          <w:tcPr>
            <w:tcW w:type="dxa" w:w="493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State the expected EMS outcome, evidence sampled and the specific missing or ineffective arrangement.</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Defensible gap statement</w:t>
            </w:r>
          </w:p>
        </w:tc>
      </w:tr>
      <w:tr>
        <w:trPr>
          <w:cantSplit/>
        </w:trPr>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6. Prioritize</w:t>
            </w:r>
          </w:p>
        </w:tc>
        <w:tc>
          <w:tcPr>
            <w:tcW w:type="dxa" w:w="493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Consider environmental significance, compliance exposure, systemic impact, stakeholder concern, dependency and urgency.</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Priority</w:t>
            </w:r>
          </w:p>
        </w:tc>
      </w:tr>
      <w:tr>
        <w:trPr>
          <w:cantSplit/>
        </w:trPr>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7. Define action</w:t>
            </w:r>
          </w:p>
        </w:tc>
        <w:tc>
          <w:tcPr>
            <w:tcW w:type="dxa" w:w="493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Specify remediation, owner, due date, deliverable and verification evidence.</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Action plan entry</w:t>
            </w:r>
          </w:p>
        </w:tc>
      </w:tr>
      <w:tr>
        <w:trPr>
          <w:cantSplit/>
        </w:trPr>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8. Review</w:t>
            </w:r>
          </w:p>
        </w:tc>
        <w:tc>
          <w:tcPr>
            <w:tcW w:type="dxa" w:w="493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Consolidate duplicate gaps and confirm priorities with relevant process owners before management review.</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Approved assessment/action set</w:t>
            </w:r>
          </w:p>
        </w:tc>
      </w:tr>
    </w:tbl>
    <w:p>
      <w:pPr>
        <w:pStyle w:val="Heading1"/>
      </w:pPr>
      <w:r>
        <w:rPr>
          <w:rFonts w:ascii="Cambria" w:hAnsi="Cambria" w:eastAsia="Cambria" w:cs="Cambria"/>
          <w:b/>
          <w:i w:val="0"/>
          <w:color w:val="1F4E79"/>
          <w:sz w:val="25"/>
        </w:rPr>
        <w:t>3. Current-State Rating</w:t>
      </w:r>
    </w:p>
    <w:tbl>
      <w:tblPr>
        <w:tblW w:type="auto" w:w="0"/>
        <w:jc w:val="center"/>
        <w:tblLayout w:type="fixed"/>
        <w:tblLook w:val="04A0"/>
      </w:tblPr>
      <w:tblGrid>
        <w:gridCol w:w="4677"/>
        <w:gridCol w:w="4677"/>
      </w:tblGrid>
      <w:tr>
        <w:trPr>
          <w:tblHeader w:val="true"/>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Rating</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Use When</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Conforming</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Evidence demonstrates the applicable EMS arrangement is established and operating within the assessed scope.</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Partially Conforming</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Arrangements exist but coverage, consistency, evidence or effectiveness is incomplete.</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Nonconforming</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The applicable arrangement is absent, materially ineffective or not supported by objective evidence.</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Not Assessed</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The assessor has not yet obtained enough evidence to conclude.</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N/A</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The criterion genuinely does not apply to the assessed scope; use a short rationale when N/A could otherwise hide risk or obligation.</w:t>
            </w:r>
          </w:p>
        </w:tc>
      </w:tr>
    </w:tbl>
    <w:p>
      <w:pPr>
        <w:pStyle w:val="Heading1"/>
      </w:pPr>
      <w:r>
        <w:rPr>
          <w:rFonts w:ascii="Cambria" w:hAnsi="Cambria" w:eastAsia="Cambria" w:cs="Cambria"/>
          <w:b/>
          <w:i w:val="0"/>
          <w:color w:val="1F4E79"/>
          <w:sz w:val="25"/>
        </w:rPr>
        <w:t>4. Evidence - What Good Evidence Looks Like</w:t>
      </w:r>
    </w:p>
    <w:tbl>
      <w:tblPr>
        <w:tblW w:type="auto" w:w="0"/>
        <w:jc w:val="center"/>
        <w:tblLayout w:type="fixed"/>
        <w:tblLook w:val="04A0"/>
      </w:tblPr>
      <w:tblGrid>
        <w:gridCol w:w="3118"/>
        <w:gridCol w:w="3118"/>
        <w:gridCol w:w="3118"/>
      </w:tblGrid>
      <w:tr>
        <w:trPr>
          <w:tblHeader w:val="true"/>
        </w:trPr>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6"/>
              </w:rPr>
              <w:t>Evidence Source</w:t>
            </w:r>
          </w:p>
        </w:tc>
        <w:tc>
          <w:tcPr>
            <w:tcW w:type="dxa" w:w="385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6"/>
              </w:rPr>
              <w:t>Examples</w:t>
            </w:r>
          </w:p>
        </w:tc>
        <w:tc>
          <w:tcPr>
            <w:tcW w:type="dxa" w:w="351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6"/>
              </w:rPr>
              <w:t>Quality Check</w:t>
            </w:r>
          </w:p>
        </w:tc>
      </w:tr>
      <w:tr>
        <w:trPr>
          <w:cantSplit/>
        </w:trPr>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Operational observation</w:t>
            </w:r>
          </w:p>
        </w:tc>
        <w:tc>
          <w:tcPr>
            <w:tcW w:type="dxa" w:w="385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Waste storage, spill prevention, emissions/discharge controls, resource use, contractor interfaces, emergency readiness.</w:t>
            </w:r>
          </w:p>
        </w:tc>
        <w:tc>
          <w:tcPr>
            <w:tcW w:type="dxa" w:w="351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Observed practice matches the defined operating criteria and normal work.</w:t>
            </w:r>
          </w:p>
        </w:tc>
      </w:tr>
      <w:tr>
        <w:trPr>
          <w:cantSplit/>
        </w:trPr>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Interviews</w:t>
            </w:r>
          </w:p>
        </w:tc>
        <w:tc>
          <w:tcPr>
            <w:tcW w:type="dxa" w:w="385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Understanding of significant aspects, operating controls, reporting, emergency actions and responsibilities.</w:t>
            </w:r>
          </w:p>
        </w:tc>
        <w:tc>
          <w:tcPr>
            <w:tcW w:type="dxa" w:w="351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Sample people who perform or control the work; compare statements with records and observation.</w:t>
            </w:r>
          </w:p>
        </w:tc>
      </w:tr>
      <w:tr>
        <w:trPr>
          <w:cantSplit/>
        </w:trPr>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Documents</w:t>
            </w:r>
          </w:p>
        </w:tc>
        <w:tc>
          <w:tcPr>
            <w:tcW w:type="dxa" w:w="385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Policy, procedures, scope, aspect method, compliance register, objectives, plans and work instructions.</w:t>
            </w:r>
          </w:p>
        </w:tc>
        <w:tc>
          <w:tcPr>
            <w:tcW w:type="dxa" w:w="351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Current, approved and applicable to actual activities.</w:t>
            </w:r>
          </w:p>
        </w:tc>
      </w:tr>
      <w:tr>
        <w:trPr>
          <w:cantSplit/>
        </w:trPr>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Records</w:t>
            </w:r>
          </w:p>
        </w:tc>
        <w:tc>
          <w:tcPr>
            <w:tcW w:type="dxa" w:w="385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Monitoring, inspections, waste records, maintenance, incidents, drills, communications, actions and reviews.</w:t>
            </w:r>
          </w:p>
        </w:tc>
        <w:tc>
          <w:tcPr>
            <w:tcW w:type="dxa" w:w="351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Dated, attributable, complete enough for the decision and representative of operation.</w:t>
            </w:r>
          </w:p>
        </w:tc>
      </w:tr>
      <w:tr>
        <w:trPr>
          <w:cantSplit/>
        </w:trPr>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Monitoring / measurement</w:t>
            </w:r>
          </w:p>
        </w:tc>
        <w:tc>
          <w:tcPr>
            <w:tcW w:type="dxa" w:w="385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Environmental KPI data, emissions/discharge/resource data, equipment checks and trend analysis.</w:t>
            </w:r>
          </w:p>
        </w:tc>
        <w:tc>
          <w:tcPr>
            <w:tcW w:type="dxa" w:w="351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Method, frequency, source and review are suitable for the conclusion being made.</w:t>
            </w:r>
          </w:p>
        </w:tc>
      </w:tr>
    </w:tbl>
    <w:p>
      <w:pPr>
        <w:pStyle w:val="Heading1"/>
      </w:pPr>
      <w:r>
        <w:rPr>
          <w:rFonts w:ascii="Cambria" w:hAnsi="Cambria" w:eastAsia="Cambria" w:cs="Cambria"/>
          <w:b/>
          <w:i w:val="0"/>
          <w:color w:val="1F4E79"/>
          <w:sz w:val="25"/>
        </w:rPr>
        <w:t>5. Writing a Strong Gap Statement</w:t>
      </w:r>
    </w:p>
    <w:p>
      <w:pPr>
        <w:spacing w:before="0" w:after="80" w:line="252" w:lineRule="auto"/>
      </w:pPr>
      <w:r>
        <w:rPr>
          <w:rFonts w:ascii="Cambria" w:hAnsi="Cambria" w:eastAsia="Cambria" w:cs="Cambria"/>
          <w:b w:val="0"/>
          <w:i w:val="0"/>
          <w:color w:val="000000"/>
          <w:sz w:val="20"/>
        </w:rPr>
        <w:t>A useful gap statement is factual and actionable. Identify the expected outcome, the evidence sampled and the demonstrated deficiency. Avoid broad statements such as “environmental controls are weak” unless the evidence and affected process are clearly identified.</w:t>
      </w:r>
    </w:p>
    <w:tbl>
      <w:tblPr>
        <w:tblW w:type="auto" w:w="0"/>
        <w:jc w:val="center"/>
        <w:tblLayout w:type="fixed"/>
        <w:tblLook w:val="04A0"/>
      </w:tblPr>
      <w:tblGrid>
        <w:gridCol w:w="4677"/>
        <w:gridCol w:w="4677"/>
      </w:tblGrid>
      <w:tr>
        <w:trPr>
          <w:tblHeader w:val="true"/>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Weak</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Better Practice</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“Aspect register needs improvement.”</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Identify the process/change sampled, the aspect or lifecycle stage not considered, and the practical consequence for significance evaluation or control.</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“Legal compliance is unclear.”</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Identify the obligation category, the missing applicability/source/evaluation evidence, and the resulting uncertainty in the compliance conclusion.</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“Emergency plan is inadequate.”</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State the credible environmental scenario, role/resource/testing element that was missing or ineffective.</w:t>
            </w:r>
          </w:p>
        </w:tc>
      </w:tr>
    </w:tbl>
    <w:p>
      <w:pPr>
        <w:pStyle w:val="Heading1"/>
      </w:pPr>
      <w:r>
        <w:rPr>
          <w:rFonts w:ascii="Cambria" w:hAnsi="Cambria" w:eastAsia="Cambria" w:cs="Cambria"/>
          <w:b/>
          <w:i w:val="0"/>
          <w:color w:val="1F4E79"/>
          <w:sz w:val="25"/>
        </w:rPr>
        <w:t>6. Priority and Escalation</w:t>
      </w:r>
    </w:p>
    <w:tbl>
      <w:tblPr>
        <w:tblW w:type="auto" w:w="0"/>
        <w:jc w:val="center"/>
        <w:tblLayout w:type="fixed"/>
        <w:tblLook w:val="04A0"/>
      </w:tblPr>
      <w:tblGrid>
        <w:gridCol w:w="3118"/>
        <w:gridCol w:w="3118"/>
        <w:gridCol w:w="3118"/>
      </w:tblGrid>
      <w:tr>
        <w:trPr>
          <w:tblHeader w:val="true"/>
        </w:trPr>
        <w:tc>
          <w:tcPr>
            <w:tcW w:type="dxa" w:w="136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6"/>
              </w:rPr>
              <w:t>Priority</w:t>
            </w:r>
          </w:p>
        </w:tc>
        <w:tc>
          <w:tcPr>
            <w:tcW w:type="dxa" w:w="41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6"/>
              </w:rPr>
              <w:t>Typical Basis</w:t>
            </w:r>
          </w:p>
        </w:tc>
        <w:tc>
          <w:tcPr>
            <w:tcW w:type="dxa" w:w="385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6"/>
              </w:rPr>
              <w:t>Expected Response</w:t>
            </w:r>
          </w:p>
        </w:tc>
      </w:tr>
      <w:tr>
        <w:trPr>
          <w:cantSplit/>
        </w:trPr>
        <w:tc>
          <w:tcPr>
            <w:tcW w:type="dxa" w:w="136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High</w:t>
            </w:r>
          </w:p>
        </w:tc>
        <w:tc>
          <w:tcPr>
            <w:tcW w:type="dxa" w:w="41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Potential material environmental impact, possible compliance exposure, uncontrolled significant aspect, systemic control failure or critical implementation blocker.</w:t>
            </w:r>
          </w:p>
        </w:tc>
        <w:tc>
          <w:tcPr>
            <w:tcW w:type="dxa" w:w="385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Apply immediate containment/control where appropriate, assign an owner and escalate through EMS governance.</w:t>
            </w:r>
          </w:p>
        </w:tc>
      </w:tr>
      <w:tr>
        <w:trPr>
          <w:cantSplit/>
        </w:trPr>
        <w:tc>
          <w:tcPr>
            <w:tcW w:type="dxa" w:w="136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Medium</w:t>
            </w:r>
          </w:p>
        </w:tc>
        <w:tc>
          <w:tcPr>
            <w:tcW w:type="dxa" w:w="41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Material weakness with some existing control, moderate exposure or an implementation dependency requiring planned work.</w:t>
            </w:r>
          </w:p>
        </w:tc>
        <w:tc>
          <w:tcPr>
            <w:tcW w:type="dxa" w:w="385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Plan, resource and track through the action plan.</w:t>
            </w:r>
          </w:p>
        </w:tc>
      </w:tr>
      <w:tr>
        <w:trPr>
          <w:cantSplit/>
        </w:trPr>
        <w:tc>
          <w:tcPr>
            <w:tcW w:type="dxa" w:w="136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Low</w:t>
            </w:r>
          </w:p>
        </w:tc>
        <w:tc>
          <w:tcPr>
            <w:tcW w:type="dxa" w:w="41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Limited exposure or improvement opportunity with low practical consequence.</w:t>
            </w:r>
          </w:p>
        </w:tc>
        <w:tc>
          <w:tcPr>
            <w:tcW w:type="dxa" w:w="385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Schedule proportionately without displacing higher-priority work.</w:t>
            </w:r>
          </w:p>
        </w:tc>
      </w:tr>
    </w:tbl>
    <w:tbl>
      <w:tblPr>
        <w:tblW w:type="auto" w:w="0"/>
        <w:jc w:val="center"/>
        <w:tblLook w:val="04A0"/>
      </w:tblPr>
      <w:tblGrid>
        <w:gridCol w:w="9355"/>
      </w:tblGrid>
      <w:tr>
        <w:tc>
          <w:tcPr>
            <w:tcW w:type="dxa" w:w="9355"/>
            <w:tcBorders>
              <w:top w:val="single" w:sz="4" w:space="0" w:color="D6B656"/>
              <w:left w:val="single" w:sz="4" w:space="0" w:color="D6B656"/>
              <w:bottom w:val="single" w:sz="4" w:space="0" w:color="D6B656"/>
              <w:right w:val="single" w:sz="4" w:space="0" w:color="D6B656"/>
              <w:insideH w:val="single" w:sz="4" w:space="0" w:color="D6B656"/>
              <w:insideV w:val="single" w:sz="4" w:space="0" w:color="D6B656"/>
            </w:tcBorders>
            <w:shd w:fill="FFF2CC" w:val="clear"/>
            <w:tcMar>
              <w:top w:w="100" w:type="dxa"/>
              <w:left w:w="130" w:type="dxa"/>
              <w:bottom w:w="100" w:type="dxa"/>
              <w:right w:w="130" w:type="dxa"/>
            </w:tcMar>
          </w:tcPr>
          <w:p>
            <w:r>
              <w:rPr>
                <w:rFonts w:ascii="Cambria" w:hAnsi="Cambria" w:eastAsia="Cambria" w:cs="Cambria"/>
                <w:b/>
                <w:i w:val="0"/>
                <w:color w:val="000000"/>
                <w:sz w:val="18"/>
              </w:rPr>
              <w:t xml:space="preserve">NOTE: </w:t>
            </w:r>
            <w:r>
              <w:rPr>
                <w:rFonts w:ascii="Cambria" w:hAnsi="Cambria" w:eastAsia="Cambria" w:cs="Cambria"/>
                <w:b w:val="0"/>
                <w:i w:val="0"/>
                <w:color w:val="000000"/>
                <w:sz w:val="18"/>
              </w:rPr>
              <w:t>Do not invent jurisdiction-specific laws, permit numbers or regulator findings. If the applicable requirement is not yet verified, record the source or applicability as “To Be Confirmed” and assign an action to confirm it.</w:t>
            </w:r>
          </w:p>
        </w:tc>
      </w:tr>
    </w:tbl>
    <w:p>
      <w:pPr>
        <w:pStyle w:val="Heading1"/>
      </w:pPr>
      <w:r>
        <w:rPr>
          <w:rFonts w:ascii="Cambria" w:hAnsi="Cambria" w:eastAsia="Cambria" w:cs="Cambria"/>
          <w:b/>
          <w:i w:val="0"/>
          <w:color w:val="1F4E79"/>
          <w:sz w:val="25"/>
        </w:rPr>
        <w:t>7. Environmental Aspects, Life-Cycle Perspective and Change</w:t>
      </w:r>
    </w:p>
    <w:p>
      <w:pPr>
        <w:spacing w:before="0" w:after="80" w:line="252" w:lineRule="auto"/>
      </w:pPr>
      <w:r>
        <w:rPr>
          <w:rFonts w:ascii="Cambria" w:hAnsi="Cambria" w:eastAsia="Cambria" w:cs="Cambria"/>
          <w:b w:val="0"/>
          <w:i w:val="0"/>
          <w:color w:val="000000"/>
          <w:sz w:val="20"/>
        </w:rPr>
        <w:t>For planning and operational topics, assess whether the organization has considered environmental aspects across the stages it can control or influence, including procurement, operations, distribution, use and end-of-life where relevant. Also sample how aspect significance and controls are reconsidered when activities, equipment, materials, suppliers, products or operating conditions change.</w:t>
      </w:r>
    </w:p>
    <w:p>
      <w:pPr>
        <w:pStyle w:val="Heading1"/>
      </w:pPr>
      <w:r>
        <w:rPr>
          <w:rFonts w:ascii="Cambria" w:hAnsi="Cambria" w:eastAsia="Cambria" w:cs="Cambria"/>
          <w:b/>
          <w:i w:val="0"/>
          <w:color w:val="1F4E79"/>
          <w:sz w:val="25"/>
        </w:rPr>
        <w:t>8. Compliance Obligations</w:t>
      </w:r>
    </w:p>
    <w:p>
      <w:pPr>
        <w:spacing w:before="0" w:after="80" w:line="252" w:lineRule="auto"/>
      </w:pPr>
      <w:r>
        <w:rPr>
          <w:rFonts w:ascii="Cambria" w:hAnsi="Cambria" w:eastAsia="Cambria" w:cs="Cambria"/>
          <w:b w:val="0"/>
          <w:i w:val="0"/>
          <w:color w:val="000000"/>
          <w:sz w:val="20"/>
        </w:rPr>
        <w:t>A strong assessment tests the full chain: identification of applicable obligations, authoritative source, responsibility, operational integration, planned evaluation, objective evidence and follow-up. A register alone is not sufficient evidence that compliance is being evaluated.</w:t>
      </w:r>
    </w:p>
    <w:p>
      <w:pPr>
        <w:pStyle w:val="Heading1"/>
      </w:pPr>
      <w:r>
        <w:rPr>
          <w:rFonts w:ascii="Cambria" w:hAnsi="Cambria" w:eastAsia="Cambria" w:cs="Cambria"/>
          <w:b/>
          <w:i w:val="0"/>
          <w:color w:val="1F4E79"/>
          <w:sz w:val="25"/>
        </w:rPr>
        <w:t>9. Illustrative Gap Examples</w:t>
      </w:r>
    </w:p>
    <w:tbl>
      <w:tblPr>
        <w:tblW w:type="auto" w:w="0"/>
        <w:jc w:val="center"/>
        <w:tblLook w:val="04A0"/>
      </w:tblPr>
      <w:tblGrid>
        <w:gridCol w:w="9355"/>
      </w:tblGrid>
      <w:tr>
        <w:tc>
          <w:tcPr>
            <w:tcW w:type="dxa" w:w="9355"/>
            <w:tcBorders>
              <w:top w:val="single" w:sz="4" w:space="0" w:color="D6B656"/>
              <w:left w:val="single" w:sz="4" w:space="0" w:color="D6B656"/>
              <w:bottom w:val="single" w:sz="4" w:space="0" w:color="D6B656"/>
              <w:right w:val="single" w:sz="4" w:space="0" w:color="D6B656"/>
              <w:insideH w:val="single" w:sz="4" w:space="0" w:color="D6B656"/>
              <w:insideV w:val="single" w:sz="4" w:space="0" w:color="D6B656"/>
            </w:tcBorders>
            <w:shd w:fill="FFF2CC" w:val="clear"/>
            <w:tcMar>
              <w:top w:w="100" w:type="dxa"/>
              <w:left w:w="130" w:type="dxa"/>
              <w:bottom w:w="100" w:type="dxa"/>
              <w:right w:w="130" w:type="dxa"/>
            </w:tcMar>
          </w:tcPr>
          <w:p>
            <w:r>
              <w:rPr>
                <w:rFonts w:ascii="Cambria" w:hAnsi="Cambria" w:eastAsia="Cambria" w:cs="Cambria"/>
                <w:b/>
                <w:i w:val="0"/>
                <w:color w:val="000000"/>
                <w:sz w:val="18"/>
              </w:rPr>
              <w:t xml:space="preserve">ILLUSTRATIVE DATA: </w:t>
            </w:r>
            <w:r>
              <w:rPr>
                <w:rFonts w:ascii="Cambria" w:hAnsi="Cambria" w:eastAsia="Cambria" w:cs="Cambria"/>
                <w:b w:val="0"/>
                <w:i w:val="0"/>
                <w:color w:val="000000"/>
                <w:sz w:val="18"/>
              </w:rPr>
              <w:t>The following 5 rows are Illustrative Data only. They demonstrate how to write diverse, coherent gap entries and should not be interpreted as actual organizational findings.</w:t>
            </w:r>
          </w:p>
        </w:tc>
      </w:tr>
    </w:tbl>
    <w:tbl>
      <w:tblPr>
        <w:tblW w:type="auto" w:w="0"/>
        <w:jc w:val="center"/>
        <w:tblLayout w:type="fixed"/>
        <w:tblLook w:val="04A0"/>
      </w:tblPr>
      <w:tblGrid>
        <w:gridCol w:w="1559"/>
        <w:gridCol w:w="1559"/>
        <w:gridCol w:w="1559"/>
        <w:gridCol w:w="1559"/>
        <w:gridCol w:w="1559"/>
        <w:gridCol w:w="1559"/>
      </w:tblGrid>
      <w:tr>
        <w:trPr>
          <w:tblHeader w:val="true"/>
        </w:trPr>
        <w:tc>
          <w:tcPr>
            <w:tcW w:type="dxa" w:w="13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5"/>
              </w:rPr>
              <w:t>Data Type</w:t>
            </w:r>
          </w:p>
        </w:tc>
        <w:tc>
          <w:tcPr>
            <w:tcW w:type="dxa" w:w="136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5"/>
              </w:rPr>
              <w:t>Gap ID</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5"/>
              </w:rPr>
              <w:t>Theme</w:t>
            </w:r>
          </w:p>
        </w:tc>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5"/>
              </w:rPr>
              <w:t>Illustrative Gap</w:t>
            </w:r>
          </w:p>
        </w:tc>
        <w:tc>
          <w:tcPr>
            <w:tcW w:type="dxa" w:w="8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5"/>
              </w:rPr>
              <w:t>Priority</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5"/>
              </w:rPr>
              <w:t>Owner / Status</w:t>
            </w:r>
          </w:p>
        </w:tc>
      </w:tr>
      <w:tr>
        <w:trPr>
          <w:cantSplit/>
        </w:trPr>
        <w:tc>
          <w:tcPr>
            <w:tcW w:type="dxa" w:w="13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pPr>
              <w:jc w:val="left"/>
            </w:pPr>
            <w:r/>
            <w:r>
              <w:rPr>
                <w:rFonts w:ascii="Cambria" w:hAnsi="Cambria" w:eastAsia="Cambria" w:cs="Cambria"/>
                <w:b w:val="0"/>
                <w:i w:val="0"/>
                <w:color w:val="000000"/>
                <w:sz w:val="15"/>
              </w:rPr>
              <w:t>Example Data</w:t>
            </w:r>
          </w:p>
        </w:tc>
        <w:tc>
          <w:tcPr>
            <w:tcW w:type="dxa" w:w="136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EX-EMS-GA-001</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Context</w:t>
            </w:r>
          </w:p>
        </w:tc>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Annual context review does not consistently document relevant changing environmental conditions that could affect EMS planning.</w:t>
            </w:r>
          </w:p>
        </w:tc>
        <w:tc>
          <w:tcPr>
            <w:tcW w:type="dxa" w:w="8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Medium</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EMS Manager / In Progress</w:t>
            </w:r>
          </w:p>
        </w:tc>
      </w:tr>
      <w:tr>
        <w:trPr>
          <w:cantSplit/>
        </w:trPr>
        <w:tc>
          <w:tcPr>
            <w:tcW w:type="dxa" w:w="13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pPr>
              <w:jc w:val="left"/>
            </w:pPr>
            <w:r/>
            <w:r>
              <w:rPr>
                <w:rFonts w:ascii="Cambria" w:hAnsi="Cambria" w:eastAsia="Cambria" w:cs="Cambria"/>
                <w:b w:val="0"/>
                <w:i w:val="0"/>
                <w:color w:val="000000"/>
                <w:sz w:val="15"/>
              </w:rPr>
              <w:t>Example Data</w:t>
            </w:r>
          </w:p>
        </w:tc>
        <w:tc>
          <w:tcPr>
            <w:tcW w:type="dxa" w:w="136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EX-EMS-GA-017</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Compliance obligations</w:t>
            </w:r>
          </w:p>
        </w:tc>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Obligation register lists requirements but does not define how authoritative-source changes are monitored and applicability is revalidated.</w:t>
            </w:r>
          </w:p>
        </w:tc>
        <w:tc>
          <w:tcPr>
            <w:tcW w:type="dxa" w:w="8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High</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Compliance Manager / Open</w:t>
            </w:r>
          </w:p>
        </w:tc>
      </w:tr>
      <w:tr>
        <w:trPr>
          <w:cantSplit/>
        </w:trPr>
        <w:tc>
          <w:tcPr>
            <w:tcW w:type="dxa" w:w="13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pPr>
              <w:jc w:val="left"/>
            </w:pPr>
            <w:r/>
            <w:r>
              <w:rPr>
                <w:rFonts w:ascii="Cambria" w:hAnsi="Cambria" w:eastAsia="Cambria" w:cs="Cambria"/>
                <w:b w:val="0"/>
                <w:i w:val="0"/>
                <w:color w:val="000000"/>
                <w:sz w:val="15"/>
              </w:rPr>
              <w:t>Example Data</w:t>
            </w:r>
          </w:p>
        </w:tc>
        <w:tc>
          <w:tcPr>
            <w:tcW w:type="dxa" w:w="136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EX-EMS-GA-031</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Procurement</w:t>
            </w:r>
          </w:p>
        </w:tc>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Environmental screening is applied to selected material purchases but not consistently to high-impact outsourced services.</w:t>
            </w:r>
          </w:p>
        </w:tc>
        <w:tc>
          <w:tcPr>
            <w:tcW w:type="dxa" w:w="8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Medium</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Procurement Manager / In Progress</w:t>
            </w:r>
          </w:p>
        </w:tc>
      </w:tr>
      <w:tr>
        <w:trPr>
          <w:cantSplit/>
        </w:trPr>
        <w:tc>
          <w:tcPr>
            <w:tcW w:type="dxa" w:w="13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pPr>
              <w:jc w:val="left"/>
            </w:pPr>
            <w:r/>
            <w:r>
              <w:rPr>
                <w:rFonts w:ascii="Cambria" w:hAnsi="Cambria" w:eastAsia="Cambria" w:cs="Cambria"/>
                <w:b w:val="0"/>
                <w:i w:val="0"/>
                <w:color w:val="000000"/>
                <w:sz w:val="15"/>
              </w:rPr>
              <w:t>Example Data</w:t>
            </w:r>
          </w:p>
        </w:tc>
        <w:tc>
          <w:tcPr>
            <w:tcW w:type="dxa" w:w="136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EX-EMS-GA-036</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Emergency preparedness</w:t>
            </w:r>
          </w:p>
        </w:tc>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Environmental drill lessons are recorded, but action ownership and effectiveness verification are not consistently tracked to closure.</w:t>
            </w:r>
          </w:p>
        </w:tc>
        <w:tc>
          <w:tcPr>
            <w:tcW w:type="dxa" w:w="8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Medium</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Site Manager / Open</w:t>
            </w:r>
          </w:p>
        </w:tc>
      </w:tr>
      <w:tr>
        <w:trPr>
          <w:cantSplit/>
        </w:trPr>
        <w:tc>
          <w:tcPr>
            <w:tcW w:type="dxa" w:w="13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pPr>
              <w:jc w:val="left"/>
            </w:pPr>
            <w:r/>
            <w:r>
              <w:rPr>
                <w:rFonts w:ascii="Cambria" w:hAnsi="Cambria" w:eastAsia="Cambria" w:cs="Cambria"/>
                <w:b w:val="0"/>
                <w:i w:val="0"/>
                <w:color w:val="000000"/>
                <w:sz w:val="15"/>
              </w:rPr>
              <w:t>Example Data</w:t>
            </w:r>
          </w:p>
        </w:tc>
        <w:tc>
          <w:tcPr>
            <w:tcW w:type="dxa" w:w="136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EX-EMS-GA-043</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Performance evaluation</w:t>
            </w:r>
          </w:p>
        </w:tc>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A sampled environmental KPI can be reported, but its source, review method and decision threshold are not clearly traceable.</w:t>
            </w:r>
          </w:p>
        </w:tc>
        <w:tc>
          <w:tcPr>
            <w:tcW w:type="dxa" w:w="8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Low</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70" w:type="dxa"/>
              <w:left w:w="90" w:type="dxa"/>
              <w:bottom w:w="70" w:type="dxa"/>
              <w:right w:w="90" w:type="dxa"/>
            </w:tcMar>
          </w:tcPr>
          <w:p>
            <w:r/>
            <w:r>
              <w:rPr>
                <w:rFonts w:ascii="Cambria" w:hAnsi="Cambria" w:eastAsia="Cambria" w:cs="Cambria"/>
                <w:b w:val="0"/>
                <w:i w:val="0"/>
                <w:color w:val="000000"/>
                <w:sz w:val="15"/>
              </w:rPr>
              <w:t>Sustainability Analyst / Closed</w:t>
            </w:r>
          </w:p>
        </w:tc>
      </w:tr>
    </w:tbl>
    <w:p>
      <w:pPr>
        <w:pStyle w:val="Heading1"/>
      </w:pPr>
      <w:r>
        <w:rPr>
          <w:rFonts w:ascii="Cambria" w:hAnsi="Cambria" w:eastAsia="Cambria" w:cs="Cambria"/>
          <w:b/>
          <w:i w:val="0"/>
          <w:color w:val="1F4E79"/>
          <w:sz w:val="25"/>
        </w:rPr>
        <w:t>10. Handover to the Action Plan</w:t>
      </w:r>
    </w:p>
    <w:tbl>
      <w:tblPr>
        <w:tblW w:type="auto" w:w="0"/>
        <w:jc w:val="center"/>
        <w:tblLayout w:type="fixed"/>
        <w:tblLook w:val="04A0"/>
      </w:tblPr>
      <w:tblGrid>
        <w:gridCol w:w="4677"/>
        <w:gridCol w:w="4677"/>
      </w:tblGrid>
      <w:tr>
        <w:trPr>
          <w:tblHeader w:val="true"/>
        </w:trPr>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Field</w:t>
            </w:r>
          </w:p>
        </w:tc>
        <w:tc>
          <w:tcPr>
            <w:tcW w:type="dxa" w:w="612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Minimum Practical Content</w:t>
            </w:r>
          </w:p>
        </w:tc>
      </w:tr>
      <w:tr>
        <w:trPr>
          <w:cantSplit/>
        </w:trPr>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Gap ID</w:t>
            </w:r>
          </w:p>
        </w:tc>
        <w:tc>
          <w:tcPr>
            <w:tcW w:type="dxa" w:w="612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Unique reference back to the assessment row.</w:t>
            </w:r>
          </w:p>
        </w:tc>
      </w:tr>
      <w:tr>
        <w:trPr>
          <w:cantSplit/>
        </w:trPr>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Remediation Action</w:t>
            </w:r>
          </w:p>
        </w:tc>
        <w:tc>
          <w:tcPr>
            <w:tcW w:type="dxa" w:w="612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Specific activity rather than a vague instruction to “improve”.</w:t>
            </w:r>
          </w:p>
        </w:tc>
      </w:tr>
      <w:tr>
        <w:trPr>
          <w:cantSplit/>
        </w:trPr>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Expected Deliverable</w:t>
            </w:r>
          </w:p>
        </w:tc>
        <w:tc>
          <w:tcPr>
            <w:tcW w:type="dxa" w:w="612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Observable evidence showing implementation is complete.</w:t>
            </w:r>
          </w:p>
        </w:tc>
      </w:tr>
      <w:tr>
        <w:trPr>
          <w:cantSplit/>
        </w:trPr>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Related Aspect / Obligation / Incident Ref.</w:t>
            </w:r>
          </w:p>
        </w:tc>
        <w:tc>
          <w:tcPr>
            <w:tcW w:type="dxa" w:w="612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Link to relevant EMS evidence where useful.</w:t>
            </w:r>
          </w:p>
        </w:tc>
      </w:tr>
      <w:tr>
        <w:trPr>
          <w:cantSplit/>
        </w:trPr>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Owner / Due Date</w:t>
            </w:r>
          </w:p>
        </w:tc>
        <w:tc>
          <w:tcPr>
            <w:tcW w:type="dxa" w:w="612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One accountable role and realistic completion date.</w:t>
            </w:r>
          </w:p>
        </w:tc>
      </w:tr>
      <w:tr>
        <w:trPr>
          <w:cantSplit/>
        </w:trPr>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Verification</w:t>
            </w:r>
          </w:p>
        </w:tc>
        <w:tc>
          <w:tcPr>
            <w:tcW w:type="dxa" w:w="612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Evidence that implementation is complete and effective before closure where effectiveness matters.</w:t>
            </w:r>
          </w:p>
        </w:tc>
      </w:tr>
    </w:tbl>
    <w:p>
      <w:pPr>
        <w:pStyle w:val="Heading1"/>
      </w:pPr>
      <w:r>
        <w:rPr>
          <w:rFonts w:ascii="Cambria" w:hAnsi="Cambria" w:eastAsia="Cambria" w:cs="Cambria"/>
          <w:b/>
          <w:i w:val="0"/>
          <w:color w:val="1F4E79"/>
          <w:sz w:val="25"/>
        </w:rPr>
        <w:t>11. Assessor Quality Check</w:t>
      </w:r>
    </w:p>
    <w:p>
      <w:pPr>
        <w:pStyle w:val="ListBullet"/>
        <w:spacing w:before="0" w:after="40" w:line="252" w:lineRule="auto"/>
      </w:pPr>
      <w:r>
        <w:rPr>
          <w:rFonts w:ascii="Cambria" w:hAnsi="Cambria" w:eastAsia="Cambria" w:cs="Cambria"/>
          <w:b w:val="0"/>
          <w:i w:val="0"/>
          <w:color w:val="000000"/>
          <w:sz w:val="20"/>
        </w:rPr>
        <w:t>Every rating is supported by evidence or clearly marked Not Assessed.</w:t>
      </w:r>
    </w:p>
    <w:p>
      <w:pPr>
        <w:pStyle w:val="ListBullet"/>
        <w:spacing w:before="0" w:after="40" w:line="252" w:lineRule="auto"/>
      </w:pPr>
      <w:r>
        <w:rPr>
          <w:rFonts w:ascii="Cambria" w:hAnsi="Cambria" w:eastAsia="Cambria" w:cs="Cambria"/>
          <w:b w:val="0"/>
          <w:i w:val="0"/>
          <w:color w:val="000000"/>
          <w:sz w:val="20"/>
        </w:rPr>
        <w:t>Operational topics are tested through observation/interviews/records, not documents alone.</w:t>
      </w:r>
    </w:p>
    <w:p>
      <w:pPr>
        <w:pStyle w:val="ListBullet"/>
        <w:spacing w:before="0" w:after="40" w:line="252" w:lineRule="auto"/>
      </w:pPr>
      <w:r>
        <w:rPr>
          <w:rFonts w:ascii="Cambria" w:hAnsi="Cambria" w:eastAsia="Cambria" w:cs="Cambria"/>
          <w:b w:val="0"/>
          <w:i w:val="0"/>
          <w:color w:val="000000"/>
          <w:sz w:val="20"/>
        </w:rPr>
        <w:t>N/A decisions do not hide applicable aspects, compliance obligations or environmental risks.</w:t>
      </w:r>
    </w:p>
    <w:p>
      <w:pPr>
        <w:pStyle w:val="ListBullet"/>
        <w:spacing w:before="0" w:after="40" w:line="252" w:lineRule="auto"/>
      </w:pPr>
      <w:r>
        <w:rPr>
          <w:rFonts w:ascii="Cambria" w:hAnsi="Cambria" w:eastAsia="Cambria" w:cs="Cambria"/>
          <w:b w:val="0"/>
          <w:i w:val="0"/>
          <w:color w:val="000000"/>
          <w:sz w:val="20"/>
        </w:rPr>
        <w:t>Priorities reflect environmental/compliance consequence rather than document convenience.</w:t>
      </w:r>
    </w:p>
    <w:p>
      <w:pPr>
        <w:pStyle w:val="ListBullet"/>
        <w:spacing w:before="0" w:after="40" w:line="252" w:lineRule="auto"/>
      </w:pPr>
      <w:r>
        <w:rPr>
          <w:rFonts w:ascii="Cambria" w:hAnsi="Cambria" w:eastAsia="Cambria" w:cs="Cambria"/>
          <w:b w:val="0"/>
          <w:i w:val="0"/>
          <w:color w:val="000000"/>
          <w:sz w:val="20"/>
        </w:rPr>
        <w:t>Actions have owners, due dates, deliverables and proportionate verification evidence.</w:t>
      </w:r>
    </w:p>
    <w:p>
      <w:pPr>
        <w:pStyle w:val="ListBullet"/>
        <w:spacing w:before="0" w:after="40" w:line="252" w:lineRule="auto"/>
      </w:pPr>
      <w:r>
        <w:rPr>
          <w:rFonts w:ascii="Cambria" w:hAnsi="Cambria" w:eastAsia="Cambria" w:cs="Cambria"/>
          <w:b w:val="0"/>
          <w:i w:val="0"/>
          <w:color w:val="000000"/>
          <w:sz w:val="20"/>
        </w:rPr>
        <w:t>Duplicate gaps and actions are consolidated before management review.</w:t>
      </w:r>
    </w:p>
    <w:p>
      <w:pPr>
        <w:pStyle w:val="Heading1"/>
      </w:pPr>
      <w:r>
        <w:rPr>
          <w:rFonts w:ascii="Cambria" w:hAnsi="Cambria" w:eastAsia="Cambria" w:cs="Cambria"/>
          <w:b/>
          <w:i w:val="0"/>
          <w:color w:val="1F4E79"/>
          <w:sz w:val="25"/>
        </w:rPr>
        <w:t>12. References</w:t>
      </w:r>
    </w:p>
    <w:p>
      <w:pPr>
        <w:pStyle w:val="ListBullet"/>
        <w:spacing w:before="0" w:after="40" w:line="252" w:lineRule="auto"/>
      </w:pPr>
      <w:r>
        <w:rPr>
          <w:rFonts w:ascii="Cambria" w:hAnsi="Cambria" w:eastAsia="Cambria" w:cs="Cambria"/>
          <w:b w:val="0"/>
          <w:i w:val="0"/>
          <w:color w:val="000000"/>
          <w:sz w:val="20"/>
        </w:rPr>
        <w:t>ISO 14001:2026 - Environmental management systems - Requirements with guidance for use.</w:t>
      </w:r>
    </w:p>
    <w:p>
      <w:pPr>
        <w:pStyle w:val="ListBullet"/>
        <w:spacing w:before="0" w:after="40" w:line="252" w:lineRule="auto"/>
      </w:pPr>
      <w:r>
        <w:rPr>
          <w:rFonts w:ascii="Cambria" w:hAnsi="Cambria" w:eastAsia="Cambria" w:cs="Cambria"/>
          <w:b w:val="0"/>
          <w:i w:val="0"/>
          <w:color w:val="000000"/>
          <w:sz w:val="20"/>
        </w:rPr>
        <w:t>Organization’s EMS scope, environmental aspects/impacts information, compliance obligations, objectives, procedures, monitoring, incident, audit and management-review records.</w:t>
      </w:r>
    </w:p>
    <w:p>
      <w:pPr>
        <w:pStyle w:val="Heading1"/>
      </w:pPr>
      <w:r>
        <w:rPr>
          <w:rFonts w:ascii="Cambria" w:hAnsi="Cambria" w:eastAsia="Cambria" w:cs="Cambria"/>
          <w:b/>
          <w:i w:val="0"/>
          <w:color w:val="1F4E79"/>
          <w:sz w:val="25"/>
        </w:rPr>
        <w:t>Approval and Revision</w:t>
      </w:r>
    </w:p>
    <w:tbl>
      <w:tblPr>
        <w:tblW w:type="auto" w:w="0"/>
        <w:jc w:val="center"/>
        <w:tblLayout w:type="fixed"/>
        <w:tblLook w:val="04A0"/>
      </w:tblPr>
      <w:tblGrid>
        <w:gridCol w:w="2339"/>
        <w:gridCol w:w="2339"/>
        <w:gridCol w:w="2339"/>
        <w:gridCol w:w="2339"/>
      </w:tblGrid>
      <w:tr>
        <w:trPr>
          <w:tblHeader w:val="true"/>
        </w:trPr>
        <w:tc>
          <w:tcPr>
            <w:tcW w:type="dxa" w:w="204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Role</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Name / Position</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Approval / Signature</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Date</w:t>
            </w:r>
          </w:p>
        </w:tc>
      </w:tr>
      <w:tr>
        <w:trPr>
          <w:cantSplit/>
        </w:trPr>
        <w:tc>
          <w:tcPr>
            <w:tcW w:type="dxa" w:w="204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Prepared / Maintained by</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EMS Manager / Environmental Manager</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r>
          </w:p>
        </w:tc>
      </w:tr>
      <w:tr>
        <w:trPr>
          <w:cantSplit/>
        </w:trPr>
        <w:tc>
          <w:tcPr>
            <w:tcW w:type="dxa" w:w="204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Reviewed by</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[REVIEWER / FUNCTION]</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r>
          </w:p>
        </w:tc>
      </w:tr>
      <w:tr>
        <w:trPr>
          <w:cantSplit/>
        </w:trPr>
        <w:tc>
          <w:tcPr>
            <w:tcW w:type="dxa" w:w="204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Approved by</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Top Management</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r>
          </w:p>
        </w:tc>
      </w:tr>
    </w:tbl>
    <w:p>
      <w:pPr>
        <w:pStyle w:val="Heading2"/>
      </w:pPr>
      <w:r>
        <w:rPr>
          <w:rFonts w:ascii="Cambria" w:hAnsi="Cambria" w:eastAsia="Cambria" w:cs="Cambria"/>
          <w:b/>
          <w:i w:val="0"/>
          <w:color w:val="000000"/>
          <w:sz w:val="22"/>
        </w:rPr>
        <w:t>Revision History</w:t>
      </w:r>
    </w:p>
    <w:tbl>
      <w:tblPr>
        <w:tblW w:type="auto" w:w="0"/>
        <w:jc w:val="center"/>
        <w:tblLayout w:type="fixed"/>
        <w:tblLook w:val="04A0"/>
      </w:tblPr>
      <w:tblGrid>
        <w:gridCol w:w="3118"/>
        <w:gridCol w:w="3118"/>
        <w:gridCol w:w="3118"/>
      </w:tblGrid>
      <w:tr>
        <w:trPr>
          <w:tblHeader w:val="true"/>
        </w:trPr>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Version</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Date</w:t>
            </w:r>
          </w:p>
        </w:tc>
        <w:tc>
          <w:tcPr>
            <w:tcW w:type="dxa" w:w="595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Description</w:t>
            </w:r>
          </w:p>
        </w:tc>
      </w:tr>
      <w:tr>
        <w:trPr>
          <w:cantSplit/>
        </w:trPr>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1.0</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2026-09-18</w:t>
            </w:r>
          </w:p>
        </w:tc>
        <w:tc>
          <w:tcPr>
            <w:tcW w:type="dxa" w:w="595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Initial issue</w:t>
            </w:r>
          </w:p>
        </w:tc>
      </w:tr>
    </w:tbl>
    <w:sectPr w:rsidR="00FC693F" w:rsidRPr="0006063C" w:rsidSect="00034616">
      <w:headerReference w:type="default" r:id="rId9"/>
      <w:footerReference w:type="default" r:id="rId10"/>
      <w:pgSz w:w="11906" w:h="16838"/>
      <w:pgMar w:top="1134" w:right="1134" w:bottom="1134" w:left="1417" w:header="454" w:footer="454" w:gutter="0"/>
      <w:cols w:space="720"/>
      <w:docGrid w:linePitch="360"/>
    </w:sectPr>
  </w:body>
</w:document>
</file>

<file path=word/fontTable.xml><?xml version="1.0" encoding="utf-8"?>
<w:font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w:p>
    <w:pPr>
      <w:pStyle w:val="Footer"/>
      <w:spacing w:before="0" w:after="20" w:line="252" w:lineRule="auto"/>
      <w:jc w:val="center"/>
    </w:pPr>
    <w:r>
      <w:rPr>
        <w:rFonts w:ascii="Cambria" w:hAnsi="Cambria" w:eastAsia="Cambria" w:cs="Cambria"/>
        <w:b w:val="0"/>
        <w:i w:val="0"/>
        <w:color w:val="666666"/>
        <w:sz w:val="16"/>
      </w:rPr>
      <w:t>Copyright © ISO Toolkits | www.iso-toolkits.org | info@iso-toolkits.org</w:t>
    </w:r>
  </w:p>
  <w:p>
    <w:pPr>
      <w:spacing w:before="0" w:after="0" w:line="252" w:lineRule="auto"/>
      <w:jc w:val="center"/>
    </w:pPr>
    <w:r>
      <w:rPr>
        <w:rFonts w:ascii="Cambria" w:hAnsi="Cambria" w:eastAsia="Cambria" w:cs="Cambria"/>
        <w:b w:val="0"/>
        <w:i w:val="0"/>
        <w:color w:val="666666"/>
        <w:sz w:val="16"/>
      </w:rPr>
      <w:t xml:space="preserve">CONTROLLED DOCUMENT | INTERNAL | Page </w:t>
    </w:r>
    <w:r>
      <w:rPr>
        <w:rFonts w:ascii="Cambria" w:hAnsi="Cambria" w:eastAsia="Cambria" w:cs="Cambria"/>
        <w:b w:val="0"/>
        <w:i w:val="0"/>
        <w:color w:val="666666"/>
        <w:sz w:val="16"/>
      </w:rPr>
      <w:fldChar w:fldCharType="begin"/>
      <w:instrText xml:space="preserve"> PAGE </w:instrText>
      <w:fldChar w:fldCharType="separate"/>
      <w:t>1</w:t>
      <w:fldChar w:fldCharType="end"/>
    </w:r>
    <w:r>
      <w:rPr>
        <w:rFonts w:ascii="Cambria" w:hAnsi="Cambria" w:eastAsia="Cambria" w:cs="Cambria"/>
        <w:b w:val="0"/>
        <w:i w:val="0"/>
        <w:color w:val="666666"/>
        <w:sz w:val="16"/>
      </w:rPr>
      <w:t xml:space="preserve"> of </w:t>
    </w:r>
    <w:r>
      <w:rPr>
        <w:rFonts w:ascii="Cambria" w:hAnsi="Cambria" w:eastAsia="Cambria" w:cs="Cambria"/>
        <w:b w:val="0"/>
        <w:i w:val="0"/>
        <w:color w:val="666666"/>
        <w:sz w:val="16"/>
      </w:rPr>
      <w:fldChar w:fldCharType="begin"/>
      <w:instrText xml:space="preserve"> NUMPAGES </w:instrText>
      <w:fldChar w:fldCharType="separate"/>
      <w:t>1</w:t>
      <w:fldChar w:fldCharType="end"/>
    </w:r>
  </w:p>
</w:ftr>
</file>

<file path=word/header1.xml><?xml version="1.0" encoding="utf-8"?>
<w:hdr xmlns:w="http://schemas.openxmlformats.org/wordprocessingml/2006/main">
  <w:p>
    <w:pPr>
      <w:pStyle w:val="Header"/>
      <w:spacing w:after="0"/>
    </w:pPr>
    <w:r/>
  </w:p>
  <w:tbl>
    <w:tblPr>
      <w:tblW w:type="auto" w:w="0"/>
      <w:jc w:val="center"/>
      <w:tblLook w:val="04A0"/>
    </w:tblPr>
    <w:tblGrid>
      <w:gridCol w:w="3118"/>
      <w:gridCol w:w="3118"/>
      <w:gridCol w:w="3118"/>
    </w:tblGrid>
    <w:tr>
      <w:tc>
        <w:tcPr>
          <w:tcW w:type="dxa" w:w="1814"/>
          <w:tcBorders>
            <w:top w:val="single" w:sz="3" w:space="0" w:color="B7C9D6"/>
            <w:left w:val="single" w:sz="3" w:space="0" w:color="B7C9D6"/>
            <w:bottom w:val="single" w:sz="3" w:space="0" w:color="B7C9D6"/>
            <w:right w:val="single" w:sz="3" w:space="0" w:color="B7C9D6"/>
            <w:insideH w:val="single" w:sz="3" w:space="0" w:color="B7C9D6"/>
            <w:insideV w:val="single" w:sz="3" w:space="0" w:color="B7C9D6"/>
          </w:tcBorders>
          <w:shd w:fill="F2F2F2" w:val="clear"/>
          <w:tcMar>
            <w:top w:w="50" w:type="dxa"/>
            <w:left w:w="70" w:type="dxa"/>
            <w:bottom w:w="50" w:type="dxa"/>
            <w:right w:w="70" w:type="dxa"/>
          </w:tcMar>
          <w:vAlign w:val="center"/>
        </w:tcPr>
        <w:p>
          <w:pPr>
            <w:jc w:val="center"/>
          </w:pPr>
          <w:r>
            <w:rPr>
              <w:rFonts w:ascii="Cambria" w:hAnsi="Cambria" w:eastAsia="Cambria" w:cs="Cambria"/>
              <w:b/>
              <w:i w:val="0"/>
              <w:color w:val="666666"/>
              <w:sz w:val="15"/>
            </w:rPr>
            <w:t>ORGANIZATION</w:t>
            <w:br/>
            <w:t>LOGO</w:t>
          </w:r>
        </w:p>
      </w:tc>
      <w:tc>
        <w:tcPr>
          <w:tcW w:type="dxa" w:w="5215"/>
          <w:tcBorders>
            <w:top w:val="single" w:sz="3" w:space="0" w:color="B7C9D6"/>
            <w:left w:val="single" w:sz="3" w:space="0" w:color="B7C9D6"/>
            <w:bottom w:val="single" w:sz="3" w:space="0" w:color="B7C9D6"/>
            <w:right w:val="single" w:sz="3" w:space="0" w:color="B7C9D6"/>
            <w:insideH w:val="single" w:sz="3" w:space="0" w:color="B7C9D6"/>
            <w:insideV w:val="single" w:sz="3" w:space="0" w:color="B7C9D6"/>
          </w:tcBorders>
          <w:shd w:fill="EAF3F8" w:val="clear"/>
          <w:tcMar>
            <w:top w:w="50" w:type="dxa"/>
            <w:left w:w="70" w:type="dxa"/>
            <w:bottom w:w="50" w:type="dxa"/>
            <w:right w:w="70" w:type="dxa"/>
          </w:tcMar>
          <w:vAlign w:val="center"/>
        </w:tcPr>
        <w:p>
          <w:pPr>
            <w:jc w:val="center"/>
          </w:pPr>
          <w:r>
            <w:rPr>
              <w:rFonts w:ascii="Cambria" w:hAnsi="Cambria" w:eastAsia="Cambria" w:cs="Cambria"/>
              <w:b/>
              <w:i w:val="0"/>
              <w:color w:val="1F4E79"/>
              <w:sz w:val="17"/>
            </w:rPr>
            <w:t>[ORGANIZATION NAME]</w:t>
            <w:br/>
            <w:t>Environmental Gap Analysis Guidance</w:t>
          </w:r>
        </w:p>
      </w:tc>
      <w:tc>
        <w:tcPr>
          <w:tcW w:type="dxa" w:w="2324"/>
          <w:tcBorders>
            <w:top w:val="single" w:sz="3" w:space="0" w:color="B7C9D6"/>
            <w:left w:val="single" w:sz="3" w:space="0" w:color="B7C9D6"/>
            <w:bottom w:val="single" w:sz="3" w:space="0" w:color="B7C9D6"/>
            <w:right w:val="single" w:sz="3" w:space="0" w:color="B7C9D6"/>
            <w:insideH w:val="single" w:sz="3" w:space="0" w:color="B7C9D6"/>
            <w:insideV w:val="single" w:sz="3" w:space="0" w:color="B7C9D6"/>
          </w:tcBorders>
          <w:shd w:fill="F2F2F2" w:val="clear"/>
          <w:tcMar>
            <w:top w:w="50" w:type="dxa"/>
            <w:left w:w="70" w:type="dxa"/>
            <w:bottom w:w="50" w:type="dxa"/>
            <w:right w:w="70" w:type="dxa"/>
          </w:tcMar>
          <w:vAlign w:val="center"/>
        </w:tcPr>
        <w:p>
          <w:pPr>
            <w:jc w:val="center"/>
          </w:pPr>
          <w:r>
            <w:rPr>
              <w:rFonts w:ascii="Cambria" w:hAnsi="Cambria" w:eastAsia="Cambria" w:cs="Cambria"/>
              <w:b/>
              <w:i w:val="0"/>
              <w:color w:val="000000"/>
              <w:sz w:val="15"/>
            </w:rPr>
            <w:t>EMS-GOV-002</w:t>
            <w:br/>
            <w:t>Version 1.0</w:t>
            <w:br/>
            <w:t>Effective 2026-09-18</w:t>
          </w:r>
        </w:p>
      </w:tc>
    </w:tr>
  </w:tbl>
</w:hdr>
</file>

<file path=word/numbering.xml><?xml version="1.0" encoding="utf-8"?>
<w:numbering xmlns:w="http://schemas.openxmlformats.org/wordprocessingml/2006/main">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m="http://schemas.openxmlformats.org/officeDocument/2006/math" xmlns:v="urn:schemas-microsoft-com:vml" xmlns:w="http://schemas.openxmlformats.org/wordprocessingml/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eastAsia="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Theme="majorHAnsi" w:eastAsiaTheme="majorEastAsia" w:hAnsiTheme="majorHAnsi" w:cstheme="majorBidi" w:ascii="Cambria" w:hAnsi="Cambria" w:eastAsia="Cambria"/>
      <w:b/>
      <w:bCs/>
      <w:color w:val="1F4E79"/>
      <w:sz w:val="25"/>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asciiTheme="majorHAnsi" w:eastAsiaTheme="majorEastAsia" w:hAnsiTheme="majorHAnsi" w:cstheme="majorBidi" w:ascii="Cambria" w:hAnsi="Cambria" w:eastAsia="Cambria"/>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Cambria" w:hAnsi="Cambria" w:eastAsia="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itle>Environmental Gap Analysis Guidance</dc:title>
  <dc:subject>Practical guidance for environmental management system gap assessment and action planning.</dc:subject>
  <dc:creator>ISO Toolkits</dc:creator>
  <cp:keywords>ISO 14001:2026; environmental management system; EMS; Environmental Gap Analysis Guidance</cp:keywords>
  <dc:description>ISO Toolkits practical template. www.iso-toolkits.org | info@iso-toolkits.org</dc:description>
  <cp:lastModifiedBy/>
  <cp:revision>1</cp:revision>
  <dcterms:created xsi:type="dcterms:W3CDTF">2013-12-23T23:15:00Z</dcterms:created>
  <dcterms:modified xsi:type="dcterms:W3CDTF">2013-12-23T23:15:00Z</dcterms:modified>
  <cp:category/>
</cp:coreProperties>
</file>