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pStyle w:val="Title"/>
        <w:jc w:val="left"/>
      </w:pPr>
      <w:r>
        <w:rPr>
          <w:rFonts w:ascii="Cambria" w:hAnsi="Cambria" w:eastAsia="Cambria" w:cs="Cambria"/>
          <w:b/>
          <w:color w:val="1F4E79"/>
          <w:sz w:val="40"/>
        </w:rPr>
        <w:t>ENVIRONMENTAL AUDIT GUIDANCE</w:t>
      </w:r>
    </w:p>
    <w:p>
      <w:pPr>
        <w:spacing w:after="160"/>
      </w:pPr>
      <w:r>
        <w:rPr>
          <w:rFonts w:ascii="Cambria" w:hAnsi="Cambria" w:eastAsia="Cambria" w:cs="Cambria"/>
          <w:b/>
          <w:sz w:val="22"/>
        </w:rPr>
        <w:t>ISO 14001:2026</w:t>
      </w:r>
    </w:p>
    <w:tbl>
      <w:tblPr>
        <w:tblStyle w:val="TableGrid"/>
        <w:tblW w:type="auto" w:w="0"/>
        <w:jc w:val="center"/>
        <w:tblLayout w:type="fixed"/>
        <w:tblLook w:val="04A0"/>
      </w:tblPr>
      <w:tblGrid>
        <w:gridCol w:w="2339"/>
        <w:gridCol w:w="2339"/>
        <w:gridCol w:w="2339"/>
        <w:gridCol w:w="2339"/>
      </w:tblGrid>
      <w:tr>
        <w:trPr>
          <w:cantSplit/>
        </w:trPr>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Document Owner</w:t>
            </w:r>
          </w:p>
        </w:tc>
        <w:tc>
          <w:tcPr>
            <w:tcW w:type="dxa" w:w="2721"/>
            <w:tcMar>
              <w:top w:w="70" w:type="dxa"/>
              <w:left w:w="90" w:type="dxa"/>
              <w:bottom w:w="70" w:type="dxa"/>
              <w:right w:w="90" w:type="dxa"/>
            </w:tcMar>
            <w:vAlign w:val="top"/>
          </w:tcPr>
          <w:p>
            <w:pPr>
              <w:spacing w:after="0" w:before="0"/>
            </w:pPr>
            <w:r/>
            <w:r>
              <w:rPr>
                <w:rFonts w:ascii="Cambria" w:hAnsi="Cambria" w:eastAsia="Cambria" w:cs="Cambria"/>
                <w:b w:val="0"/>
                <w:color w:val="000000"/>
                <w:sz w:val="18"/>
              </w:rPr>
              <w:t>Environmental Manager</w:t>
            </w:r>
          </w:p>
        </w:tc>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Approver</w:t>
            </w:r>
          </w:p>
        </w:tc>
        <w:tc>
          <w:tcPr>
            <w:tcW w:type="dxa" w:w="2778"/>
            <w:tcMar>
              <w:top w:w="70" w:type="dxa"/>
              <w:left w:w="90" w:type="dxa"/>
              <w:bottom w:w="70" w:type="dxa"/>
              <w:right w:w="90" w:type="dxa"/>
            </w:tcMar>
            <w:vAlign w:val="top"/>
          </w:tcPr>
          <w:p>
            <w:pPr>
              <w:spacing w:after="0" w:before="0"/>
            </w:pPr>
            <w:r/>
            <w:r>
              <w:rPr>
                <w:rFonts w:ascii="Cambria" w:hAnsi="Cambria" w:eastAsia="Cambria" w:cs="Cambria"/>
                <w:b w:val="0"/>
                <w:color w:val="000000"/>
                <w:sz w:val="18"/>
              </w:rPr>
              <w:t>Top Management</w:t>
            </w:r>
          </w:p>
        </w:tc>
      </w:tr>
      <w:tr>
        <w:trPr>
          <w:cantSplit/>
        </w:trPr>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Classification</w:t>
            </w:r>
          </w:p>
        </w:tc>
        <w:tc>
          <w:tcPr>
            <w:tcW w:type="dxa" w:w="2721"/>
            <w:tcMar>
              <w:top w:w="70" w:type="dxa"/>
              <w:left w:w="90" w:type="dxa"/>
              <w:bottom w:w="70" w:type="dxa"/>
              <w:right w:w="90" w:type="dxa"/>
            </w:tcMar>
            <w:vAlign w:val="top"/>
          </w:tcPr>
          <w:p>
            <w:pPr>
              <w:spacing w:after="0" w:before="0"/>
            </w:pPr>
            <w:r/>
            <w:r>
              <w:rPr>
                <w:rFonts w:ascii="Cambria" w:hAnsi="Cambria" w:eastAsia="Cambria" w:cs="Cambria"/>
                <w:b w:val="0"/>
                <w:color w:val="000000"/>
                <w:sz w:val="18"/>
              </w:rPr>
              <w:t>INTERNAL</w:t>
            </w:r>
          </w:p>
        </w:tc>
        <w:tc>
          <w:tcPr>
            <w:tcW w:type="dxa" w:w="1928"/>
            <w:shd w:val="clear" w:color="auto" w:fill="EAF3F8"/>
            <w:tcMar>
              <w:top w:w="70" w:type="dxa"/>
              <w:left w:w="90" w:type="dxa"/>
              <w:bottom w:w="70" w:type="dxa"/>
              <w:right w:w="90" w:type="dxa"/>
            </w:tcMar>
            <w:vAlign w:val="top"/>
          </w:tcPr>
          <w:p>
            <w:pPr>
              <w:spacing w:after="0" w:before="0"/>
            </w:pPr>
            <w:r/>
            <w:r>
              <w:rPr>
                <w:rFonts w:ascii="Cambria" w:hAnsi="Cambria" w:eastAsia="Cambria" w:cs="Cambria"/>
                <w:b/>
                <w:color w:val="000000"/>
                <w:sz w:val="18"/>
              </w:rPr>
              <w:t>Next Review</w:t>
            </w:r>
          </w:p>
        </w:tc>
        <w:tc>
          <w:tcPr>
            <w:tcW w:type="dxa" w:w="2778"/>
            <w:tcMar>
              <w:top w:w="70" w:type="dxa"/>
              <w:left w:w="90" w:type="dxa"/>
              <w:bottom w:w="70" w:type="dxa"/>
              <w:right w:w="90" w:type="dxa"/>
            </w:tcMar>
            <w:vAlign w:val="top"/>
          </w:tcPr>
          <w:p>
            <w:pPr>
              <w:spacing w:after="0" w:before="0"/>
            </w:pPr>
            <w:r/>
            <w:r>
              <w:rPr>
                <w:rFonts w:ascii="Cambria" w:hAnsi="Cambria" w:eastAsia="Cambria" w:cs="Cambria"/>
                <w:b w:val="0"/>
                <w:color w:val="000000"/>
                <w:sz w:val="18"/>
              </w:rPr>
              <w:t>2027-09-18</w:t>
            </w:r>
          </w:p>
        </w:tc>
      </w:tr>
    </w:tbl>
    <w:p>
      <w:pPr>
        <w:pStyle w:val="SmallNote"/>
      </w:pPr>
      <w:r>
        <w:t>Built using Word 2007-compatible OOXML rules. Replace bracketed organization fields before controlled use.</w:t>
      </w:r>
    </w:p>
    <w:p>
      <w:pPr>
        <w:pStyle w:val="Heading1"/>
      </w:pPr>
      <w:r>
        <w:t>1. Purpose and Use</w:t>
      </w:r>
    </w:p>
    <w:p>
      <w:r>
        <w:rPr>
          <w:rFonts w:ascii="Cambria" w:hAnsi="Cambria" w:eastAsia="Cambria" w:cs="Cambria"/>
          <w:sz w:val="20"/>
        </w:rPr>
        <w:t>Use this guidance when preparing, conducting, reporting or following up an internal environmental audit. It complements the Internal Environmental Audit Procedure, Audit Checklist and Audit Report. Apply it proportionately to the EMS scope, environmental significance, compliance obligations, operational risk, recent change, incident history and previous audit results.</w:t>
      </w:r>
    </w:p>
    <w:tbl>
      <w:tblPr>
        <w:tblStyle w:val="TableGrid"/>
        <w:tblW w:type="auto" w:w="0"/>
        <w:jc w:val="center"/>
        <w:tblLayout w:type="fixed"/>
        <w:tblLook w:val="04A0"/>
      </w:tblPr>
      <w:tblGrid>
        <w:gridCol w:w="9355"/>
      </w:tblGrid>
      <w:tr>
        <w:tc>
          <w:tcPr>
            <w:tcW w:type="dxa" w:w="9354"/>
            <w:shd w:val="clear" w:color="auto" w:fill="FFF2CC"/>
            <w:tcMar>
              <w:top w:w="100" w:type="dxa"/>
              <w:left w:w="120" w:type="dxa"/>
              <w:bottom w:w="100" w:type="dxa"/>
              <w:right w:w="120" w:type="dxa"/>
            </w:tcMar>
          </w:tcPr>
          <w:p>
            <w:pPr>
              <w:spacing w:after="0"/>
            </w:pPr>
            <w:r>
              <w:rPr>
                <w:rFonts w:ascii="Cambria" w:hAnsi="Cambria" w:eastAsia="Cambria" w:cs="Cambria"/>
                <w:b/>
                <w:sz w:val="18"/>
              </w:rPr>
              <w:t>This document is guidance, not a fixed audit script. Follow objective evidence and audit trails; do not treat the checklist itself as proof of conformity.</w:t>
            </w:r>
          </w:p>
        </w:tc>
      </w:tr>
    </w:tbl>
    <w:p>
      <w:pPr>
        <w:spacing w:after="0"/>
      </w:pPr>
    </w:p>
    <w:p>
      <w:pPr>
        <w:pStyle w:val="Heading1"/>
      </w:pPr>
      <w:r>
        <w:t>2. References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ISO 14001:2026 — Environmental management systems — Requirements with guidance for use.</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ISO 19011 — guidance for auditing management systems.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The organization’s EMS scope, environmental aspects/impacts information, compliance obligations, operational controls, monitoring results and internal requirements.</w:t>
      </w:r>
    </w:p>
    <w:p>
      <w:pPr>
        <w:pStyle w:val="Heading1"/>
      </w:pPr>
      <w:r>
        <w:t>3. Auditor Mindset</w:t>
      </w:r>
    </w:p>
    <w:tbl>
      <w:tblPr>
        <w:tblStyle w:val="TableGrid"/>
        <w:tblW w:type="auto" w:w="0"/>
        <w:jc w:val="center"/>
        <w:tblLayout w:type="fixed"/>
        <w:tblLook w:val="04A0"/>
      </w:tblPr>
      <w:tblGrid>
        <w:gridCol w:w="4677"/>
        <w:gridCol w:w="4677"/>
      </w:tblGrid>
      <w:tr>
        <w:trPr>
          <w:cantSplit/>
          <w:tblHeader w:val="true"/>
        </w:trPr>
        <w:tc>
          <w:tcPr>
            <w:tcW w:type="dxa" w:w="226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Principle in Practice</w:t>
            </w:r>
          </w:p>
        </w:tc>
        <w:tc>
          <w:tcPr>
            <w:tcW w:type="dxa" w:w="7087"/>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What the Auditor Should Do</w:t>
            </w:r>
          </w:p>
        </w:tc>
      </w:tr>
      <w:tr>
        <w:trPr>
          <w:cantSplit/>
        </w:trPr>
        <w:tc>
          <w:tcPr>
            <w:tcW w:type="dxa" w:w="2268"/>
            <w:tcMar>
              <w:top w:w="70" w:type="dxa"/>
              <w:left w:w="90" w:type="dxa"/>
              <w:bottom w:w="70" w:type="dxa"/>
              <w:right w:w="90" w:type="dxa"/>
            </w:tcMar>
            <w:vAlign w:val="top"/>
          </w:tcPr>
          <w:p>
            <w:pPr>
              <w:spacing w:after="0" w:before="0"/>
            </w:pPr>
            <w:r/>
            <w:r>
              <w:rPr>
                <w:rFonts w:ascii="Cambria" w:hAnsi="Cambria" w:eastAsia="Cambria" w:cs="Cambria"/>
                <w:color w:val="000000"/>
                <w:sz w:val="17"/>
              </w:rPr>
              <w:t>Integrity</w:t>
            </w:r>
          </w:p>
        </w:tc>
        <w:tc>
          <w:tcPr>
            <w:tcW w:type="dxa" w:w="7087"/>
            <w:tcMar>
              <w:top w:w="70" w:type="dxa"/>
              <w:left w:w="90" w:type="dxa"/>
              <w:bottom w:w="70" w:type="dxa"/>
              <w:right w:w="90" w:type="dxa"/>
            </w:tcMar>
            <w:vAlign w:val="top"/>
          </w:tcPr>
          <w:p>
            <w:pPr>
              <w:spacing w:after="0" w:before="0"/>
            </w:pPr>
            <w:r/>
            <w:r>
              <w:rPr>
                <w:rFonts w:ascii="Cambria" w:hAnsi="Cambria" w:eastAsia="Cambria" w:cs="Cambria"/>
                <w:color w:val="000000"/>
                <w:sz w:val="17"/>
              </w:rPr>
              <w:t>Be factual, professional and transparent. Report what the evidence supports, including limitations and unresolved disagreement.</w:t>
            </w:r>
          </w:p>
        </w:tc>
      </w:tr>
      <w:tr>
        <w:trPr>
          <w:cantSplit/>
        </w:trPr>
        <w:tc>
          <w:tcPr>
            <w:tcW w:type="dxa" w:w="2268"/>
            <w:tcMar>
              <w:top w:w="70" w:type="dxa"/>
              <w:left w:w="90" w:type="dxa"/>
              <w:bottom w:w="70" w:type="dxa"/>
              <w:right w:w="90" w:type="dxa"/>
            </w:tcMar>
            <w:vAlign w:val="top"/>
          </w:tcPr>
          <w:p>
            <w:pPr>
              <w:spacing w:after="0" w:before="0"/>
            </w:pPr>
            <w:r/>
            <w:r>
              <w:rPr>
                <w:rFonts w:ascii="Cambria" w:hAnsi="Cambria" w:eastAsia="Cambria" w:cs="Cambria"/>
                <w:color w:val="000000"/>
                <w:sz w:val="17"/>
              </w:rPr>
              <w:t>Objectivity</w:t>
            </w:r>
          </w:p>
        </w:tc>
        <w:tc>
          <w:tcPr>
            <w:tcW w:type="dxa" w:w="7087"/>
            <w:tcMar>
              <w:top w:w="70" w:type="dxa"/>
              <w:left w:w="90" w:type="dxa"/>
              <w:bottom w:w="70" w:type="dxa"/>
              <w:right w:w="90" w:type="dxa"/>
            </w:tcMar>
            <w:vAlign w:val="top"/>
          </w:tcPr>
          <w:p>
            <w:pPr>
              <w:spacing w:after="0" w:before="0"/>
            </w:pPr>
            <w:r/>
            <w:r>
              <w:rPr>
                <w:rFonts w:ascii="Cambria" w:hAnsi="Cambria" w:eastAsia="Cambria" w:cs="Cambria"/>
                <w:color w:val="000000"/>
                <w:sz w:val="17"/>
              </w:rPr>
              <w:t>Avoid auditing your own work where this could impair impartiality; disclose conflicts and use appropriate safeguards.</w:t>
            </w:r>
          </w:p>
        </w:tc>
      </w:tr>
      <w:tr>
        <w:trPr>
          <w:cantSplit/>
        </w:trPr>
        <w:tc>
          <w:tcPr>
            <w:tcW w:type="dxa" w:w="2268"/>
            <w:tcMar>
              <w:top w:w="70" w:type="dxa"/>
              <w:left w:w="90" w:type="dxa"/>
              <w:bottom w:w="70" w:type="dxa"/>
              <w:right w:w="90" w:type="dxa"/>
            </w:tcMar>
            <w:vAlign w:val="top"/>
          </w:tcPr>
          <w:p>
            <w:pPr>
              <w:spacing w:after="0" w:before="0"/>
            </w:pPr>
            <w:r/>
            <w:r>
              <w:rPr>
                <w:rFonts w:ascii="Cambria" w:hAnsi="Cambria" w:eastAsia="Cambria" w:cs="Cambria"/>
                <w:color w:val="000000"/>
                <w:sz w:val="17"/>
              </w:rPr>
              <w:t>Evidence-based approach</w:t>
            </w:r>
          </w:p>
        </w:tc>
        <w:tc>
          <w:tcPr>
            <w:tcW w:type="dxa" w:w="7087"/>
            <w:tcMar>
              <w:top w:w="70" w:type="dxa"/>
              <w:left w:w="90" w:type="dxa"/>
              <w:bottom w:w="70" w:type="dxa"/>
              <w:right w:w="90" w:type="dxa"/>
            </w:tcMar>
            <w:vAlign w:val="top"/>
          </w:tcPr>
          <w:p>
            <w:pPr>
              <w:spacing w:after="0" w:before="0"/>
            </w:pPr>
            <w:r/>
            <w:r>
              <w:rPr>
                <w:rFonts w:ascii="Cambria" w:hAnsi="Cambria" w:eastAsia="Cambria" w:cs="Cambria"/>
                <w:color w:val="000000"/>
                <w:sz w:val="17"/>
              </w:rPr>
              <w:t>Base conclusions on verifiable records, site conditions, monitoring data, interviews and traceable samples.</w:t>
            </w:r>
          </w:p>
        </w:tc>
      </w:tr>
      <w:tr>
        <w:trPr>
          <w:cantSplit/>
        </w:trPr>
        <w:tc>
          <w:tcPr>
            <w:tcW w:type="dxa" w:w="2268"/>
            <w:tcMar>
              <w:top w:w="70" w:type="dxa"/>
              <w:left w:w="90" w:type="dxa"/>
              <w:bottom w:w="70" w:type="dxa"/>
              <w:right w:w="90" w:type="dxa"/>
            </w:tcMar>
            <w:vAlign w:val="top"/>
          </w:tcPr>
          <w:p>
            <w:pPr>
              <w:spacing w:after="0" w:before="0"/>
            </w:pPr>
            <w:r/>
            <w:r>
              <w:rPr>
                <w:rFonts w:ascii="Cambria" w:hAnsi="Cambria" w:eastAsia="Cambria" w:cs="Cambria"/>
                <w:color w:val="000000"/>
                <w:sz w:val="17"/>
              </w:rPr>
              <w:t>Risk-based approach</w:t>
            </w:r>
          </w:p>
        </w:tc>
        <w:tc>
          <w:tcPr>
            <w:tcW w:type="dxa" w:w="7087"/>
            <w:tcMar>
              <w:top w:w="70" w:type="dxa"/>
              <w:left w:w="90" w:type="dxa"/>
              <w:bottom w:w="70" w:type="dxa"/>
              <w:right w:w="90" w:type="dxa"/>
            </w:tcMar>
            <w:vAlign w:val="top"/>
          </w:tcPr>
          <w:p>
            <w:pPr>
              <w:spacing w:after="0" w:before="0"/>
            </w:pPr>
            <w:r/>
            <w:r>
              <w:rPr>
                <w:rFonts w:ascii="Cambria" w:hAnsi="Cambria" w:eastAsia="Cambria" w:cs="Cambria"/>
                <w:color w:val="000000"/>
                <w:sz w:val="17"/>
              </w:rPr>
              <w:t>Spend more audit effort where control failure could cause significant environmental impact, noncompliance, emergency consequence or systemic EMS failure.</w:t>
            </w:r>
          </w:p>
        </w:tc>
      </w:tr>
      <w:tr>
        <w:trPr>
          <w:cantSplit/>
        </w:trPr>
        <w:tc>
          <w:tcPr>
            <w:tcW w:type="dxa" w:w="2268"/>
            <w:tcMar>
              <w:top w:w="70" w:type="dxa"/>
              <w:left w:w="90" w:type="dxa"/>
              <w:bottom w:w="70" w:type="dxa"/>
              <w:right w:w="90" w:type="dxa"/>
            </w:tcMar>
            <w:vAlign w:val="top"/>
          </w:tcPr>
          <w:p>
            <w:pPr>
              <w:spacing w:after="0" w:before="0"/>
            </w:pPr>
            <w:r/>
            <w:r>
              <w:rPr>
                <w:rFonts w:ascii="Cambria" w:hAnsi="Cambria" w:eastAsia="Cambria" w:cs="Cambria"/>
                <w:color w:val="000000"/>
                <w:sz w:val="17"/>
              </w:rPr>
              <w:t>Professional judgement</w:t>
            </w:r>
          </w:p>
        </w:tc>
        <w:tc>
          <w:tcPr>
            <w:tcW w:type="dxa" w:w="7087"/>
            <w:tcMar>
              <w:top w:w="70" w:type="dxa"/>
              <w:left w:w="90" w:type="dxa"/>
              <w:bottom w:w="70" w:type="dxa"/>
              <w:right w:w="90" w:type="dxa"/>
            </w:tcMar>
            <w:vAlign w:val="top"/>
          </w:tcPr>
          <w:p>
            <w:pPr>
              <w:spacing w:after="0" w:before="0"/>
            </w:pPr>
            <w:r/>
            <w:r>
              <w:rPr>
                <w:rFonts w:ascii="Cambria" w:hAnsi="Cambria" w:eastAsia="Cambria" w:cs="Cambria"/>
                <w:color w:val="000000"/>
                <w:sz w:val="17"/>
              </w:rPr>
              <w:t>Distinguish an actual criterion failure from a preferred method. Record improvement ideas separately from nonconformities.</w:t>
            </w:r>
          </w:p>
        </w:tc>
      </w:tr>
      <w:tr>
        <w:trPr>
          <w:cantSplit/>
        </w:trPr>
        <w:tc>
          <w:tcPr>
            <w:tcW w:type="dxa" w:w="2268"/>
            <w:tcMar>
              <w:top w:w="70" w:type="dxa"/>
              <w:left w:w="90" w:type="dxa"/>
              <w:bottom w:w="70" w:type="dxa"/>
              <w:right w:w="90" w:type="dxa"/>
            </w:tcMar>
            <w:vAlign w:val="top"/>
          </w:tcPr>
          <w:p>
            <w:pPr>
              <w:spacing w:after="0" w:before="0"/>
            </w:pPr>
            <w:r/>
            <w:r>
              <w:rPr>
                <w:rFonts w:ascii="Cambria" w:hAnsi="Cambria" w:eastAsia="Cambria" w:cs="Cambria"/>
                <w:color w:val="000000"/>
                <w:sz w:val="17"/>
              </w:rPr>
              <w:t>Confidentiality</w:t>
            </w:r>
          </w:p>
        </w:tc>
        <w:tc>
          <w:tcPr>
            <w:tcW w:type="dxa" w:w="7087"/>
            <w:tcMar>
              <w:top w:w="70" w:type="dxa"/>
              <w:left w:w="90" w:type="dxa"/>
              <w:bottom w:w="70" w:type="dxa"/>
              <w:right w:w="90" w:type="dxa"/>
            </w:tcMar>
            <w:vAlign w:val="top"/>
          </w:tcPr>
          <w:p>
            <w:pPr>
              <w:spacing w:after="0" w:before="0"/>
            </w:pPr>
            <w:r/>
            <w:r>
              <w:rPr>
                <w:rFonts w:ascii="Cambria" w:hAnsi="Cambria" w:eastAsia="Cambria" w:cs="Cambria"/>
                <w:color w:val="000000"/>
                <w:sz w:val="17"/>
              </w:rPr>
              <w:t>Protect commercially sensitive, personal, security, regulator-facing and incident information collected during the audit.</w:t>
            </w:r>
          </w:p>
        </w:tc>
      </w:tr>
    </w:tbl>
    <w:p>
      <w:pPr>
        <w:pStyle w:val="Heading1"/>
      </w:pPr>
      <w:r>
        <w:t>4. Preparing the Audit</w:t>
      </w:r>
    </w:p>
    <w:tbl>
      <w:tblPr>
        <w:tblStyle w:val="TableGrid"/>
        <w:tblW w:type="auto" w:w="0"/>
        <w:jc w:val="center"/>
        <w:tblLayout w:type="fixed"/>
        <w:tblLook w:val="04A0"/>
      </w:tblPr>
      <w:tblGrid>
        <w:gridCol w:w="3118"/>
        <w:gridCol w:w="3118"/>
        <w:gridCol w:w="3118"/>
      </w:tblGrid>
      <w:tr>
        <w:trPr>
          <w:cantSplit/>
          <w:tblHeader w:val="true"/>
        </w:trPr>
        <w:tc>
          <w:tcPr>
            <w:tcW w:type="dxa" w:w="192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Task</w:t>
            </w:r>
          </w:p>
        </w:tc>
        <w:tc>
          <w:tcPr>
            <w:tcW w:type="dxa" w:w="5046"/>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Practical Guidance</w:t>
            </w:r>
          </w:p>
        </w:tc>
        <w:tc>
          <w:tcPr>
            <w:tcW w:type="dxa" w:w="238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Output</w:t>
            </w:r>
          </w:p>
        </w:tc>
      </w:tr>
      <w:tr>
        <w:trPr>
          <w:cantSplit/>
        </w:trPr>
        <w:tc>
          <w:tcPr>
            <w:tcW w:type="dxa" w:w="1928"/>
            <w:tcMar>
              <w:top w:w="70" w:type="dxa"/>
              <w:left w:w="90" w:type="dxa"/>
              <w:bottom w:w="70" w:type="dxa"/>
              <w:right w:w="90" w:type="dxa"/>
            </w:tcMar>
            <w:vAlign w:val="top"/>
          </w:tcPr>
          <w:p>
            <w:pPr>
              <w:spacing w:after="0" w:before="0"/>
            </w:pPr>
            <w:r/>
            <w:r>
              <w:rPr>
                <w:rFonts w:ascii="Cambria" w:hAnsi="Cambria" w:eastAsia="Cambria" w:cs="Cambria"/>
                <w:color w:val="000000"/>
                <w:sz w:val="17"/>
              </w:rPr>
              <w:t>Confirm objective, scope and criteria</w:t>
            </w:r>
          </w:p>
        </w:tc>
        <w:tc>
          <w:tcPr>
            <w:tcW w:type="dxa" w:w="5046"/>
            <w:tcMar>
              <w:top w:w="70" w:type="dxa"/>
              <w:left w:w="90" w:type="dxa"/>
              <w:bottom w:w="70" w:type="dxa"/>
              <w:right w:w="90" w:type="dxa"/>
            </w:tcMar>
            <w:vAlign w:val="top"/>
          </w:tcPr>
          <w:p>
            <w:pPr>
              <w:spacing w:after="0" w:before="0"/>
            </w:pPr>
            <w:r/>
            <w:r>
              <w:rPr>
                <w:rFonts w:ascii="Cambria" w:hAnsi="Cambria" w:eastAsia="Cambria" w:cs="Cambria"/>
                <w:color w:val="000000"/>
                <w:sz w:val="17"/>
              </w:rPr>
              <w:t>Define sites, processes, activities, evidence period, EMS requirements and internal criteria to be audited.</w:t>
            </w:r>
          </w:p>
        </w:tc>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7"/>
              </w:rPr>
              <w:t>Audit brief</w:t>
            </w:r>
          </w:p>
        </w:tc>
      </w:tr>
      <w:tr>
        <w:trPr>
          <w:cantSplit/>
        </w:trPr>
        <w:tc>
          <w:tcPr>
            <w:tcW w:type="dxa" w:w="1928"/>
            <w:tcMar>
              <w:top w:w="70" w:type="dxa"/>
              <w:left w:w="90" w:type="dxa"/>
              <w:bottom w:w="70" w:type="dxa"/>
              <w:right w:w="90" w:type="dxa"/>
            </w:tcMar>
            <w:vAlign w:val="top"/>
          </w:tcPr>
          <w:p>
            <w:pPr>
              <w:spacing w:after="0" w:before="0"/>
            </w:pPr>
            <w:r/>
            <w:r>
              <w:rPr>
                <w:rFonts w:ascii="Cambria" w:hAnsi="Cambria" w:eastAsia="Cambria" w:cs="Cambria"/>
                <w:color w:val="000000"/>
                <w:sz w:val="17"/>
              </w:rPr>
              <w:t>Review environmental significance</w:t>
            </w:r>
          </w:p>
        </w:tc>
        <w:tc>
          <w:tcPr>
            <w:tcW w:type="dxa" w:w="5046"/>
            <w:tcMar>
              <w:top w:w="70" w:type="dxa"/>
              <w:left w:w="90" w:type="dxa"/>
              <w:bottom w:w="70" w:type="dxa"/>
              <w:right w:w="90" w:type="dxa"/>
            </w:tcMar>
            <w:vAlign w:val="top"/>
          </w:tcPr>
          <w:p>
            <w:pPr>
              <w:spacing w:after="0" w:before="0"/>
            </w:pPr>
            <w:r/>
            <w:r>
              <w:rPr>
                <w:rFonts w:ascii="Cambria" w:hAnsi="Cambria" w:eastAsia="Cambria" w:cs="Cambria"/>
                <w:color w:val="000000"/>
                <w:sz w:val="17"/>
              </w:rPr>
              <w:t>Review significant aspects, abnormal/emergency conditions and high-consequence controls to identify priority audit trails.</w:t>
            </w:r>
          </w:p>
        </w:tc>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7"/>
              </w:rPr>
              <w:t>Risk-focused trails</w:t>
            </w:r>
          </w:p>
        </w:tc>
      </w:tr>
      <w:tr>
        <w:trPr>
          <w:cantSplit/>
        </w:trPr>
        <w:tc>
          <w:tcPr>
            <w:tcW w:type="dxa" w:w="1928"/>
            <w:tcMar>
              <w:top w:w="70" w:type="dxa"/>
              <w:left w:w="90" w:type="dxa"/>
              <w:bottom w:w="70" w:type="dxa"/>
              <w:right w:w="90" w:type="dxa"/>
            </w:tcMar>
            <w:vAlign w:val="top"/>
          </w:tcPr>
          <w:p>
            <w:pPr>
              <w:spacing w:after="0" w:before="0"/>
            </w:pPr>
            <w:r/>
            <w:r>
              <w:rPr>
                <w:rFonts w:ascii="Cambria" w:hAnsi="Cambria" w:eastAsia="Cambria" w:cs="Cambria"/>
                <w:color w:val="000000"/>
                <w:sz w:val="17"/>
              </w:rPr>
              <w:t>Review compliance information</w:t>
            </w:r>
          </w:p>
        </w:tc>
        <w:tc>
          <w:tcPr>
            <w:tcW w:type="dxa" w:w="5046"/>
            <w:tcMar>
              <w:top w:w="70" w:type="dxa"/>
              <w:left w:w="90" w:type="dxa"/>
              <w:bottom w:w="70" w:type="dxa"/>
              <w:right w:w="90" w:type="dxa"/>
            </w:tcMar>
            <w:vAlign w:val="top"/>
          </w:tcPr>
          <w:p>
            <w:pPr>
              <w:spacing w:after="0" w:before="0"/>
            </w:pPr>
            <w:r/>
            <w:r>
              <w:rPr>
                <w:rFonts w:ascii="Cambria" w:hAnsi="Cambria" w:eastAsia="Cambria" w:cs="Cambria"/>
                <w:color w:val="000000"/>
                <w:sz w:val="17"/>
              </w:rPr>
              <w:t>Identify relevant compliance obligations and recent evaluation evidence without assuming legal applicability beyond verified sources.</w:t>
            </w:r>
          </w:p>
        </w:tc>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7"/>
              </w:rPr>
              <w:t>Compliance sampling plan</w:t>
            </w:r>
          </w:p>
        </w:tc>
      </w:tr>
      <w:tr>
        <w:trPr>
          <w:cantSplit/>
        </w:trPr>
        <w:tc>
          <w:tcPr>
            <w:tcW w:type="dxa" w:w="1928"/>
            <w:tcMar>
              <w:top w:w="70" w:type="dxa"/>
              <w:left w:w="90" w:type="dxa"/>
              <w:bottom w:w="70" w:type="dxa"/>
              <w:right w:w="90" w:type="dxa"/>
            </w:tcMar>
            <w:vAlign w:val="top"/>
          </w:tcPr>
          <w:p>
            <w:pPr>
              <w:spacing w:after="0" w:before="0"/>
            </w:pPr>
            <w:r/>
            <w:r>
              <w:rPr>
                <w:rFonts w:ascii="Cambria" w:hAnsi="Cambria" w:eastAsia="Cambria" w:cs="Cambria"/>
                <w:color w:val="000000"/>
                <w:sz w:val="17"/>
              </w:rPr>
              <w:t>Review change and incident history</w:t>
            </w:r>
          </w:p>
        </w:tc>
        <w:tc>
          <w:tcPr>
            <w:tcW w:type="dxa" w:w="5046"/>
            <w:tcMar>
              <w:top w:w="70" w:type="dxa"/>
              <w:left w:w="90" w:type="dxa"/>
              <w:bottom w:w="70" w:type="dxa"/>
              <w:right w:w="90" w:type="dxa"/>
            </w:tcMar>
            <w:vAlign w:val="top"/>
          </w:tcPr>
          <w:p>
            <w:pPr>
              <w:spacing w:after="0" w:before="0"/>
            </w:pPr>
            <w:r/>
            <w:r>
              <w:rPr>
                <w:rFonts w:ascii="Cambria" w:hAnsi="Cambria" w:eastAsia="Cambria" w:cs="Cambria"/>
                <w:color w:val="000000"/>
                <w:sz w:val="17"/>
              </w:rPr>
              <w:t>Check significant process/material/equipment changes, complaints, spills/releases, corrective actions and previous findings.</w:t>
            </w:r>
          </w:p>
        </w:tc>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7"/>
              </w:rPr>
              <w:t>Focus areas</w:t>
            </w:r>
          </w:p>
        </w:tc>
      </w:tr>
      <w:tr>
        <w:trPr>
          <w:cantSplit/>
        </w:trPr>
        <w:tc>
          <w:tcPr>
            <w:tcW w:type="dxa" w:w="1928"/>
            <w:tcMar>
              <w:top w:w="70" w:type="dxa"/>
              <w:left w:w="90" w:type="dxa"/>
              <w:bottom w:w="70" w:type="dxa"/>
              <w:right w:w="90" w:type="dxa"/>
            </w:tcMar>
            <w:vAlign w:val="top"/>
          </w:tcPr>
          <w:p>
            <w:pPr>
              <w:spacing w:after="0" w:before="0"/>
            </w:pPr>
            <w:r/>
            <w:r>
              <w:rPr>
                <w:rFonts w:ascii="Cambria" w:hAnsi="Cambria" w:eastAsia="Cambria" w:cs="Cambria"/>
                <w:color w:val="000000"/>
                <w:sz w:val="17"/>
              </w:rPr>
              <w:t>Select evidence samples</w:t>
            </w:r>
          </w:p>
        </w:tc>
        <w:tc>
          <w:tcPr>
            <w:tcW w:type="dxa" w:w="5046"/>
            <w:tcMar>
              <w:top w:w="70" w:type="dxa"/>
              <w:left w:w="90" w:type="dxa"/>
              <w:bottom w:w="70" w:type="dxa"/>
              <w:right w:w="90" w:type="dxa"/>
            </w:tcMar>
            <w:vAlign w:val="top"/>
          </w:tcPr>
          <w:p>
            <w:pPr>
              <w:spacing w:after="0" w:before="0"/>
            </w:pPr>
            <w:r/>
            <w:r>
              <w:rPr>
                <w:rFonts w:ascii="Cambria" w:hAnsi="Cambria" w:eastAsia="Cambria" w:cs="Cambria"/>
                <w:color w:val="000000"/>
                <w:sz w:val="17"/>
              </w:rPr>
              <w:t>Choose representative records, shifts, sites, equipment, contractors, monitoring results or transactions based on risk and population.</w:t>
            </w:r>
          </w:p>
        </w:tc>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7"/>
              </w:rPr>
              <w:t>Sampling plan</w:t>
            </w:r>
          </w:p>
        </w:tc>
      </w:tr>
      <w:tr>
        <w:trPr>
          <w:cantSplit/>
        </w:trPr>
        <w:tc>
          <w:tcPr>
            <w:tcW w:type="dxa" w:w="1928"/>
            <w:tcMar>
              <w:top w:w="70" w:type="dxa"/>
              <w:left w:w="90" w:type="dxa"/>
              <w:bottom w:w="70" w:type="dxa"/>
              <w:right w:w="90" w:type="dxa"/>
            </w:tcMar>
            <w:vAlign w:val="top"/>
          </w:tcPr>
          <w:p>
            <w:pPr>
              <w:spacing w:after="0" w:before="0"/>
            </w:pPr>
            <w:r/>
            <w:r>
              <w:rPr>
                <w:rFonts w:ascii="Cambria" w:hAnsi="Cambria" w:eastAsia="Cambria" w:cs="Cambria"/>
                <w:color w:val="000000"/>
                <w:sz w:val="17"/>
              </w:rPr>
              <w:t>Confirm logistics and evidence handling</w:t>
            </w:r>
          </w:p>
        </w:tc>
        <w:tc>
          <w:tcPr>
            <w:tcW w:type="dxa" w:w="5046"/>
            <w:tcMar>
              <w:top w:w="70" w:type="dxa"/>
              <w:left w:w="90" w:type="dxa"/>
              <w:bottom w:w="70" w:type="dxa"/>
              <w:right w:w="90" w:type="dxa"/>
            </w:tcMar>
            <w:vAlign w:val="top"/>
          </w:tcPr>
          <w:p>
            <w:pPr>
              <w:spacing w:after="0" w:before="0"/>
            </w:pPr>
            <w:r/>
            <w:r>
              <w:rPr>
                <w:rFonts w:ascii="Cambria" w:hAnsi="Cambria" w:eastAsia="Cambria" w:cs="Cambria"/>
                <w:color w:val="000000"/>
                <w:sz w:val="17"/>
              </w:rPr>
              <w:t>Agree site access, PPE/safety rules, photo restrictions, confidentiality, interview availability and document repositories.</w:t>
            </w:r>
          </w:p>
        </w:tc>
        <w:tc>
          <w:tcPr>
            <w:tcW w:type="dxa" w:w="2381"/>
            <w:tcMar>
              <w:top w:w="70" w:type="dxa"/>
              <w:left w:w="90" w:type="dxa"/>
              <w:bottom w:w="70" w:type="dxa"/>
              <w:right w:w="90" w:type="dxa"/>
            </w:tcMar>
            <w:vAlign w:val="top"/>
          </w:tcPr>
          <w:p>
            <w:pPr>
              <w:spacing w:after="0" w:before="0"/>
            </w:pPr>
            <w:r/>
            <w:r>
              <w:rPr>
                <w:rFonts w:ascii="Cambria" w:hAnsi="Cambria" w:eastAsia="Cambria" w:cs="Cambria"/>
                <w:color w:val="000000"/>
                <w:sz w:val="17"/>
              </w:rPr>
              <w:t>Audit arrangements</w:t>
            </w:r>
          </w:p>
        </w:tc>
      </w:tr>
    </w:tbl>
    <w:p>
      <w:pPr>
        <w:pStyle w:val="Heading1"/>
      </w:pPr>
      <w:r>
        <w:t>5. Collecting Objective Evidence</w:t>
      </w:r>
    </w:p>
    <w:tbl>
      <w:tblPr>
        <w:tblStyle w:val="TableGrid"/>
        <w:tblW w:type="auto" w:w="0"/>
        <w:jc w:val="center"/>
        <w:tblLayout w:type="fixed"/>
        <w:tblLook w:val="04A0"/>
      </w:tblPr>
      <w:tblGrid>
        <w:gridCol w:w="3118"/>
        <w:gridCol w:w="3118"/>
        <w:gridCol w:w="3118"/>
      </w:tblGrid>
      <w:tr>
        <w:trPr>
          <w:cantSplit/>
          <w:tblHeader w:val="true"/>
        </w:trPr>
        <w:tc>
          <w:tcPr>
            <w:tcW w:type="dxa" w:w="1644"/>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Method</w:t>
            </w:r>
          </w:p>
        </w:tc>
        <w:tc>
          <w:tcPr>
            <w:tcW w:type="dxa" w:w="4649"/>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How to Use It</w:t>
            </w:r>
          </w:p>
        </w:tc>
        <w:tc>
          <w:tcPr>
            <w:tcW w:type="dxa" w:w="306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Watch For</w:t>
            </w:r>
          </w:p>
        </w:tc>
      </w:tr>
      <w:tr>
        <w:trPr>
          <w:cantSplit/>
        </w:trPr>
        <w:tc>
          <w:tcPr>
            <w:tcW w:type="dxa" w:w="1644"/>
            <w:tcMar>
              <w:top w:w="70" w:type="dxa"/>
              <w:left w:w="90" w:type="dxa"/>
              <w:bottom w:w="70" w:type="dxa"/>
              <w:right w:w="90" w:type="dxa"/>
            </w:tcMar>
            <w:vAlign w:val="top"/>
          </w:tcPr>
          <w:p>
            <w:pPr>
              <w:spacing w:after="0" w:before="0"/>
            </w:pPr>
            <w:r/>
            <w:r>
              <w:rPr>
                <w:rFonts w:ascii="Cambria" w:hAnsi="Cambria" w:eastAsia="Cambria" w:cs="Cambria"/>
                <w:color w:val="000000"/>
                <w:sz w:val="17"/>
              </w:rPr>
              <w:t>Interview</w:t>
            </w:r>
          </w:p>
        </w:tc>
        <w:tc>
          <w:tcPr>
            <w:tcW w:type="dxa" w:w="4649"/>
            <w:tcMar>
              <w:top w:w="70" w:type="dxa"/>
              <w:left w:w="90" w:type="dxa"/>
              <w:bottom w:w="70" w:type="dxa"/>
              <w:right w:w="90" w:type="dxa"/>
            </w:tcMar>
            <w:vAlign w:val="top"/>
          </w:tcPr>
          <w:p>
            <w:pPr>
              <w:spacing w:after="0" w:before="0"/>
            </w:pPr>
            <w:r/>
            <w:r>
              <w:rPr>
                <w:rFonts w:ascii="Cambria" w:hAnsi="Cambria" w:eastAsia="Cambria" w:cs="Cambria"/>
                <w:color w:val="000000"/>
                <w:sz w:val="17"/>
              </w:rPr>
              <w:t>Ask process owners/operators to explain actual practice, exceptions and escalation; follow with “show me” evidence.</w:t>
            </w:r>
          </w:p>
        </w:tc>
        <w:tc>
          <w:tcPr>
            <w:tcW w:type="dxa" w:w="3061"/>
            <w:tcMar>
              <w:top w:w="70" w:type="dxa"/>
              <w:left w:w="90" w:type="dxa"/>
              <w:bottom w:w="70" w:type="dxa"/>
              <w:right w:w="90" w:type="dxa"/>
            </w:tcMar>
            <w:vAlign w:val="top"/>
          </w:tcPr>
          <w:p>
            <w:pPr>
              <w:spacing w:after="0" w:before="0"/>
            </w:pPr>
            <w:r/>
            <w:r>
              <w:rPr>
                <w:rFonts w:ascii="Cambria" w:hAnsi="Cambria" w:eastAsia="Cambria" w:cs="Cambria"/>
                <w:color w:val="000000"/>
                <w:sz w:val="17"/>
              </w:rPr>
              <w:t>Verbal claims unsupported by records or observation.</w:t>
            </w:r>
          </w:p>
        </w:tc>
      </w:tr>
      <w:tr>
        <w:trPr>
          <w:cantSplit/>
        </w:trPr>
        <w:tc>
          <w:tcPr>
            <w:tcW w:type="dxa" w:w="1644"/>
            <w:tcMar>
              <w:top w:w="70" w:type="dxa"/>
              <w:left w:w="90" w:type="dxa"/>
              <w:bottom w:w="70" w:type="dxa"/>
              <w:right w:w="90" w:type="dxa"/>
            </w:tcMar>
            <w:vAlign w:val="top"/>
          </w:tcPr>
          <w:p>
            <w:pPr>
              <w:spacing w:after="0" w:before="0"/>
            </w:pPr>
            <w:r/>
            <w:r>
              <w:rPr>
                <w:rFonts w:ascii="Cambria" w:hAnsi="Cambria" w:eastAsia="Cambria" w:cs="Cambria"/>
                <w:color w:val="000000"/>
                <w:sz w:val="17"/>
              </w:rPr>
              <w:t>Site observation</w:t>
            </w:r>
          </w:p>
        </w:tc>
        <w:tc>
          <w:tcPr>
            <w:tcW w:type="dxa" w:w="4649"/>
            <w:tcMar>
              <w:top w:w="70" w:type="dxa"/>
              <w:left w:w="90" w:type="dxa"/>
              <w:bottom w:w="70" w:type="dxa"/>
              <w:right w:w="90" w:type="dxa"/>
            </w:tcMar>
            <w:vAlign w:val="top"/>
          </w:tcPr>
          <w:p>
            <w:pPr>
              <w:spacing w:after="0" w:before="0"/>
            </w:pPr>
            <w:r/>
            <w:r>
              <w:rPr>
                <w:rFonts w:ascii="Cambria" w:hAnsi="Cambria" w:eastAsia="Cambria" w:cs="Cambria"/>
                <w:color w:val="000000"/>
                <w:sz w:val="17"/>
              </w:rPr>
              <w:t>Observe storage, segregation, containment, operating controls, environmental conditions and housekeeping where relevant.</w:t>
            </w:r>
          </w:p>
        </w:tc>
        <w:tc>
          <w:tcPr>
            <w:tcW w:type="dxa" w:w="3061"/>
            <w:tcMar>
              <w:top w:w="70" w:type="dxa"/>
              <w:left w:w="90" w:type="dxa"/>
              <w:bottom w:w="70" w:type="dxa"/>
              <w:right w:w="90" w:type="dxa"/>
            </w:tcMar>
            <w:vAlign w:val="top"/>
          </w:tcPr>
          <w:p>
            <w:pPr>
              <w:spacing w:after="0" w:before="0"/>
            </w:pPr>
            <w:r/>
            <w:r>
              <w:rPr>
                <w:rFonts w:ascii="Cambria" w:hAnsi="Cambria" w:eastAsia="Cambria" w:cs="Cambria"/>
                <w:color w:val="000000"/>
                <w:sz w:val="17"/>
              </w:rPr>
              <w:t>Temporary staging for the audit, bypassed controls or conditions inconsistent with documented practice.</w:t>
            </w:r>
          </w:p>
        </w:tc>
      </w:tr>
      <w:tr>
        <w:trPr>
          <w:cantSplit/>
        </w:trPr>
        <w:tc>
          <w:tcPr>
            <w:tcW w:type="dxa" w:w="1644"/>
            <w:tcMar>
              <w:top w:w="70" w:type="dxa"/>
              <w:left w:w="90" w:type="dxa"/>
              <w:bottom w:w="70" w:type="dxa"/>
              <w:right w:w="90" w:type="dxa"/>
            </w:tcMar>
            <w:vAlign w:val="top"/>
          </w:tcPr>
          <w:p>
            <w:pPr>
              <w:spacing w:after="0" w:before="0"/>
            </w:pPr>
            <w:r/>
            <w:r>
              <w:rPr>
                <w:rFonts w:ascii="Cambria" w:hAnsi="Cambria" w:eastAsia="Cambria" w:cs="Cambria"/>
                <w:color w:val="000000"/>
                <w:sz w:val="17"/>
              </w:rPr>
              <w:t>Record review</w:t>
            </w:r>
          </w:p>
        </w:tc>
        <w:tc>
          <w:tcPr>
            <w:tcW w:type="dxa" w:w="4649"/>
            <w:tcMar>
              <w:top w:w="70" w:type="dxa"/>
              <w:left w:w="90" w:type="dxa"/>
              <w:bottom w:w="70" w:type="dxa"/>
              <w:right w:w="90" w:type="dxa"/>
            </w:tcMar>
            <w:vAlign w:val="top"/>
          </w:tcPr>
          <w:p>
            <w:pPr>
              <w:spacing w:after="0" w:before="0"/>
            </w:pPr>
            <w:r/>
            <w:r>
              <w:rPr>
                <w:rFonts w:ascii="Cambria" w:hAnsi="Cambria" w:eastAsia="Cambria" w:cs="Cambria"/>
                <w:color w:val="000000"/>
                <w:sz w:val="17"/>
              </w:rPr>
              <w:t>Sample monitoring logs, inspections, training, waste/service records, maintenance, complaints, incidents and action closure.</w:t>
            </w:r>
          </w:p>
        </w:tc>
        <w:tc>
          <w:tcPr>
            <w:tcW w:type="dxa" w:w="3061"/>
            <w:tcMar>
              <w:top w:w="70" w:type="dxa"/>
              <w:left w:w="90" w:type="dxa"/>
              <w:bottom w:w="70" w:type="dxa"/>
              <w:right w:w="90" w:type="dxa"/>
            </w:tcMar>
            <w:vAlign w:val="top"/>
          </w:tcPr>
          <w:p>
            <w:pPr>
              <w:spacing w:after="0" w:before="0"/>
            </w:pPr>
            <w:r/>
            <w:r>
              <w:rPr>
                <w:rFonts w:ascii="Cambria" w:hAnsi="Cambria" w:eastAsia="Cambria" w:cs="Cambria"/>
                <w:color w:val="000000"/>
                <w:sz w:val="17"/>
              </w:rPr>
              <w:t>Back-filled entries, gaps, unexplained exclusions or inconsistent dates.</w:t>
            </w:r>
          </w:p>
        </w:tc>
      </w:tr>
      <w:tr>
        <w:trPr>
          <w:cantSplit/>
        </w:trPr>
        <w:tc>
          <w:tcPr>
            <w:tcW w:type="dxa" w:w="1644"/>
            <w:tcMar>
              <w:top w:w="70" w:type="dxa"/>
              <w:left w:w="90" w:type="dxa"/>
              <w:bottom w:w="70" w:type="dxa"/>
              <w:right w:w="90" w:type="dxa"/>
            </w:tcMar>
            <w:vAlign w:val="top"/>
          </w:tcPr>
          <w:p>
            <w:pPr>
              <w:spacing w:after="0" w:before="0"/>
            </w:pPr>
            <w:r/>
            <w:r>
              <w:rPr>
                <w:rFonts w:ascii="Cambria" w:hAnsi="Cambria" w:eastAsia="Cambria" w:cs="Cambria"/>
                <w:color w:val="000000"/>
                <w:sz w:val="17"/>
              </w:rPr>
              <w:t>Data trace</w:t>
            </w:r>
          </w:p>
        </w:tc>
        <w:tc>
          <w:tcPr>
            <w:tcW w:type="dxa" w:w="4649"/>
            <w:tcMar>
              <w:top w:w="70" w:type="dxa"/>
              <w:left w:w="90" w:type="dxa"/>
              <w:bottom w:w="70" w:type="dxa"/>
              <w:right w:w="90" w:type="dxa"/>
            </w:tcMar>
            <w:vAlign w:val="top"/>
          </w:tcPr>
          <w:p>
            <w:pPr>
              <w:spacing w:after="0" w:before="0"/>
            </w:pPr>
            <w:r/>
            <w:r>
              <w:rPr>
                <w:rFonts w:ascii="Cambria" w:hAnsi="Cambria" w:eastAsia="Cambria" w:cs="Cambria"/>
                <w:color w:val="000000"/>
                <w:sz w:val="17"/>
              </w:rPr>
              <w:t>Trace a KPI or monitoring result from source through calculation, review, decision and action.</w:t>
            </w:r>
          </w:p>
        </w:tc>
        <w:tc>
          <w:tcPr>
            <w:tcW w:type="dxa" w:w="3061"/>
            <w:tcMar>
              <w:top w:w="70" w:type="dxa"/>
              <w:left w:w="90" w:type="dxa"/>
              <w:bottom w:w="70" w:type="dxa"/>
              <w:right w:w="90" w:type="dxa"/>
            </w:tcMar>
            <w:vAlign w:val="top"/>
          </w:tcPr>
          <w:p>
            <w:pPr>
              <w:spacing w:after="0" w:before="0"/>
            </w:pPr>
            <w:r/>
            <w:r>
              <w:rPr>
                <w:rFonts w:ascii="Cambria" w:hAnsi="Cambria" w:eastAsia="Cambria" w:cs="Cambria"/>
                <w:color w:val="000000"/>
                <w:sz w:val="17"/>
              </w:rPr>
              <w:t>Manual adjustment, incomplete population, unclear data ownership or unverified assumptions.</w:t>
            </w:r>
          </w:p>
        </w:tc>
      </w:tr>
      <w:tr>
        <w:trPr>
          <w:cantSplit/>
        </w:trPr>
        <w:tc>
          <w:tcPr>
            <w:tcW w:type="dxa" w:w="1644"/>
            <w:tcMar>
              <w:top w:w="70" w:type="dxa"/>
              <w:left w:w="90" w:type="dxa"/>
              <w:bottom w:w="70" w:type="dxa"/>
              <w:right w:w="90" w:type="dxa"/>
            </w:tcMar>
            <w:vAlign w:val="top"/>
          </w:tcPr>
          <w:p>
            <w:pPr>
              <w:spacing w:after="0" w:before="0"/>
            </w:pPr>
            <w:r/>
            <w:r>
              <w:rPr>
                <w:rFonts w:ascii="Cambria" w:hAnsi="Cambria" w:eastAsia="Cambria" w:cs="Cambria"/>
                <w:color w:val="000000"/>
                <w:sz w:val="17"/>
              </w:rPr>
              <w:t>Audit trail</w:t>
            </w:r>
          </w:p>
        </w:tc>
        <w:tc>
          <w:tcPr>
            <w:tcW w:type="dxa" w:w="4649"/>
            <w:tcMar>
              <w:top w:w="70" w:type="dxa"/>
              <w:left w:w="90" w:type="dxa"/>
              <w:bottom w:w="70" w:type="dxa"/>
              <w:right w:w="90" w:type="dxa"/>
            </w:tcMar>
            <w:vAlign w:val="top"/>
          </w:tcPr>
          <w:p>
            <w:pPr>
              <w:spacing w:after="0" w:before="0"/>
            </w:pPr>
            <w:r/>
            <w:r>
              <w:rPr>
                <w:rFonts w:ascii="Cambria" w:hAnsi="Cambria" w:eastAsia="Cambria" w:cs="Cambria"/>
                <w:color w:val="000000"/>
                <w:sz w:val="17"/>
              </w:rPr>
              <w:t>Follow an aspect, obligation, incident, supplier/service or change from identification through control and performance evaluation.</w:t>
            </w:r>
          </w:p>
        </w:tc>
        <w:tc>
          <w:tcPr>
            <w:tcW w:type="dxa" w:w="3061"/>
            <w:tcMar>
              <w:top w:w="70" w:type="dxa"/>
              <w:left w:w="90" w:type="dxa"/>
              <w:bottom w:w="70" w:type="dxa"/>
              <w:right w:w="90" w:type="dxa"/>
            </w:tcMar>
            <w:vAlign w:val="top"/>
          </w:tcPr>
          <w:p>
            <w:pPr>
              <w:spacing w:after="0" w:before="0"/>
            </w:pPr>
            <w:r/>
            <w:r>
              <w:rPr>
                <w:rFonts w:ascii="Cambria" w:hAnsi="Cambria" w:eastAsia="Cambria" w:cs="Cambria"/>
                <w:color w:val="000000"/>
                <w:sz w:val="17"/>
              </w:rPr>
              <w:t>Breakdowns at interfaces between functions, sites or external providers.</w:t>
            </w:r>
          </w:p>
        </w:tc>
      </w:tr>
    </w:tbl>
    <w:p>
      <w:pPr>
        <w:pStyle w:val="Heading1"/>
      </w:pPr>
      <w:r>
        <w:t>6. Sampling — Practical Rules</w:t>
      </w:r>
    </w:p>
    <w:p>
      <w:r>
        <w:rPr>
          <w:rFonts w:ascii="Cambria" w:hAnsi="Cambria" w:eastAsia="Cambria" w:cs="Cambria"/>
          <w:sz w:val="20"/>
        </w:rPr>
        <w:t>Sampling should be purposeful and proportionate. A sample supports a conclusion about the evidence examined; it does not prove every item in the population conforms. Record population, sample basis and important limitations when they affect confidence in the conclusion.</w:t>
      </w:r>
    </w:p>
    <w:tbl>
      <w:tblPr>
        <w:tblStyle w:val="TableGrid"/>
        <w:tblW w:type="auto" w:w="0"/>
        <w:jc w:val="center"/>
        <w:tblLayout w:type="fixed"/>
        <w:tblLook w:val="04A0"/>
      </w:tblPr>
      <w:tblGrid>
        <w:gridCol w:w="4677"/>
        <w:gridCol w:w="4677"/>
      </w:tblGrid>
      <w:tr>
        <w:trPr>
          <w:cantSplit/>
          <w:tblHeader w:val="true"/>
        </w:trPr>
        <w:tc>
          <w:tcPr>
            <w:tcW w:type="dxa" w:w="243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Sample Dimension</w:t>
            </w:r>
          </w:p>
        </w:tc>
        <w:tc>
          <w:tcPr>
            <w:tcW w:type="dxa" w:w="6917"/>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Examples</w:t>
            </w:r>
          </w:p>
        </w:tc>
      </w:tr>
      <w:tr>
        <w:trPr>
          <w:cantSplit/>
        </w:trPr>
        <w:tc>
          <w:tcPr>
            <w:tcW w:type="dxa" w:w="2438"/>
            <w:tcMar>
              <w:top w:w="70" w:type="dxa"/>
              <w:left w:w="90" w:type="dxa"/>
              <w:bottom w:w="70" w:type="dxa"/>
              <w:right w:w="90" w:type="dxa"/>
            </w:tcMar>
            <w:vAlign w:val="top"/>
          </w:tcPr>
          <w:p>
            <w:pPr>
              <w:spacing w:after="0" w:before="0"/>
            </w:pPr>
            <w:r/>
            <w:r>
              <w:rPr>
                <w:rFonts w:ascii="Cambria" w:hAnsi="Cambria" w:eastAsia="Cambria" w:cs="Cambria"/>
                <w:color w:val="000000"/>
                <w:sz w:val="17"/>
              </w:rPr>
              <w:t>Time</w:t>
            </w:r>
          </w:p>
        </w:tc>
        <w:tc>
          <w:tcPr>
            <w:tcW w:type="dxa" w:w="6917"/>
            <w:tcMar>
              <w:top w:w="70" w:type="dxa"/>
              <w:left w:w="90" w:type="dxa"/>
              <w:bottom w:w="70" w:type="dxa"/>
              <w:right w:w="90" w:type="dxa"/>
            </w:tcMar>
            <w:vAlign w:val="top"/>
          </w:tcPr>
          <w:p>
            <w:pPr>
              <w:spacing w:after="0" w:before="0"/>
            </w:pPr>
            <w:r/>
            <w:r>
              <w:rPr>
                <w:rFonts w:ascii="Cambria" w:hAnsi="Cambria" w:eastAsia="Cambria" w:cs="Cambria"/>
                <w:color w:val="000000"/>
                <w:sz w:val="17"/>
              </w:rPr>
              <w:t>Current period plus an earlier period to test sustained operation.</w:t>
            </w:r>
          </w:p>
        </w:tc>
      </w:tr>
      <w:tr>
        <w:trPr>
          <w:cantSplit/>
        </w:trPr>
        <w:tc>
          <w:tcPr>
            <w:tcW w:type="dxa" w:w="2438"/>
            <w:tcMar>
              <w:top w:w="70" w:type="dxa"/>
              <w:left w:w="90" w:type="dxa"/>
              <w:bottom w:w="70" w:type="dxa"/>
              <w:right w:w="90" w:type="dxa"/>
            </w:tcMar>
            <w:vAlign w:val="top"/>
          </w:tcPr>
          <w:p>
            <w:pPr>
              <w:spacing w:after="0" w:before="0"/>
            </w:pPr>
            <w:r/>
            <w:r>
              <w:rPr>
                <w:rFonts w:ascii="Cambria" w:hAnsi="Cambria" w:eastAsia="Cambria" w:cs="Cambria"/>
                <w:color w:val="000000"/>
                <w:sz w:val="17"/>
              </w:rPr>
              <w:t>Operating condition</w:t>
            </w:r>
          </w:p>
        </w:tc>
        <w:tc>
          <w:tcPr>
            <w:tcW w:type="dxa" w:w="6917"/>
            <w:tcMar>
              <w:top w:w="70" w:type="dxa"/>
              <w:left w:w="90" w:type="dxa"/>
              <w:bottom w:w="70" w:type="dxa"/>
              <w:right w:w="90" w:type="dxa"/>
            </w:tcMar>
            <w:vAlign w:val="top"/>
          </w:tcPr>
          <w:p>
            <w:pPr>
              <w:spacing w:after="0" w:before="0"/>
            </w:pPr>
            <w:r/>
            <w:r>
              <w:rPr>
                <w:rFonts w:ascii="Cambria" w:hAnsi="Cambria" w:eastAsia="Cambria" w:cs="Cambria"/>
                <w:color w:val="000000"/>
                <w:sz w:val="17"/>
              </w:rPr>
              <w:t>Normal operation plus relevant abnormal or emergency conditions.</w:t>
            </w:r>
          </w:p>
        </w:tc>
      </w:tr>
      <w:tr>
        <w:trPr>
          <w:cantSplit/>
        </w:trPr>
        <w:tc>
          <w:tcPr>
            <w:tcW w:type="dxa" w:w="2438"/>
            <w:tcMar>
              <w:top w:w="70" w:type="dxa"/>
              <w:left w:w="90" w:type="dxa"/>
              <w:bottom w:w="70" w:type="dxa"/>
              <w:right w:w="90" w:type="dxa"/>
            </w:tcMar>
            <w:vAlign w:val="top"/>
          </w:tcPr>
          <w:p>
            <w:pPr>
              <w:spacing w:after="0" w:before="0"/>
            </w:pPr>
            <w:r/>
            <w:r>
              <w:rPr>
                <w:rFonts w:ascii="Cambria" w:hAnsi="Cambria" w:eastAsia="Cambria" w:cs="Cambria"/>
                <w:color w:val="000000"/>
                <w:sz w:val="17"/>
              </w:rPr>
              <w:t>Location / process</w:t>
            </w:r>
          </w:p>
        </w:tc>
        <w:tc>
          <w:tcPr>
            <w:tcW w:type="dxa" w:w="6917"/>
            <w:tcMar>
              <w:top w:w="70" w:type="dxa"/>
              <w:left w:w="90" w:type="dxa"/>
              <w:bottom w:w="70" w:type="dxa"/>
              <w:right w:w="90" w:type="dxa"/>
            </w:tcMar>
            <w:vAlign w:val="top"/>
          </w:tcPr>
          <w:p>
            <w:pPr>
              <w:spacing w:after="0" w:before="0"/>
            </w:pPr>
            <w:r/>
            <w:r>
              <w:rPr>
                <w:rFonts w:ascii="Cambria" w:hAnsi="Cambria" w:eastAsia="Cambria" w:cs="Cambria"/>
                <w:color w:val="000000"/>
                <w:sz w:val="17"/>
              </w:rPr>
              <w:t>Different sites, lines, warehouses, utilities or high-impact activities.</w:t>
            </w:r>
          </w:p>
        </w:tc>
      </w:tr>
      <w:tr>
        <w:trPr>
          <w:cantSplit/>
        </w:trPr>
        <w:tc>
          <w:tcPr>
            <w:tcW w:type="dxa" w:w="2438"/>
            <w:tcMar>
              <w:top w:w="70" w:type="dxa"/>
              <w:left w:w="90" w:type="dxa"/>
              <w:bottom w:w="70" w:type="dxa"/>
              <w:right w:w="90" w:type="dxa"/>
            </w:tcMar>
            <w:vAlign w:val="top"/>
          </w:tcPr>
          <w:p>
            <w:pPr>
              <w:spacing w:after="0" w:before="0"/>
            </w:pPr>
            <w:r/>
            <w:r>
              <w:rPr>
                <w:rFonts w:ascii="Cambria" w:hAnsi="Cambria" w:eastAsia="Cambria" w:cs="Cambria"/>
                <w:color w:val="000000"/>
                <w:sz w:val="17"/>
              </w:rPr>
              <w:t>Evidence type</w:t>
            </w:r>
          </w:p>
        </w:tc>
        <w:tc>
          <w:tcPr>
            <w:tcW w:type="dxa" w:w="6917"/>
            <w:tcMar>
              <w:top w:w="70" w:type="dxa"/>
              <w:left w:w="90" w:type="dxa"/>
              <w:bottom w:w="70" w:type="dxa"/>
              <w:right w:w="90" w:type="dxa"/>
            </w:tcMar>
            <w:vAlign w:val="top"/>
          </w:tcPr>
          <w:p>
            <w:pPr>
              <w:spacing w:after="0" w:before="0"/>
            </w:pPr>
            <w:r/>
            <w:r>
              <w:rPr>
                <w:rFonts w:ascii="Cambria" w:hAnsi="Cambria" w:eastAsia="Cambria" w:cs="Cambria"/>
                <w:color w:val="000000"/>
                <w:sz w:val="17"/>
              </w:rPr>
              <w:t>Monitoring records, inspections, contractor records, training, incidents, action closure.</w:t>
            </w:r>
          </w:p>
        </w:tc>
      </w:tr>
      <w:tr>
        <w:trPr>
          <w:cantSplit/>
        </w:trPr>
        <w:tc>
          <w:tcPr>
            <w:tcW w:type="dxa" w:w="2438"/>
            <w:tcMar>
              <w:top w:w="70" w:type="dxa"/>
              <w:left w:w="90" w:type="dxa"/>
              <w:bottom w:w="70" w:type="dxa"/>
              <w:right w:w="90" w:type="dxa"/>
            </w:tcMar>
            <w:vAlign w:val="top"/>
          </w:tcPr>
          <w:p>
            <w:pPr>
              <w:spacing w:after="0" w:before="0"/>
            </w:pPr>
            <w:r/>
            <w:r>
              <w:rPr>
                <w:rFonts w:ascii="Cambria" w:hAnsi="Cambria" w:eastAsia="Cambria" w:cs="Cambria"/>
                <w:color w:val="000000"/>
                <w:sz w:val="17"/>
              </w:rPr>
              <w:t>Environmental significance</w:t>
            </w:r>
          </w:p>
        </w:tc>
        <w:tc>
          <w:tcPr>
            <w:tcW w:type="dxa" w:w="6917"/>
            <w:tcMar>
              <w:top w:w="70" w:type="dxa"/>
              <w:left w:w="90" w:type="dxa"/>
              <w:bottom w:w="70" w:type="dxa"/>
              <w:right w:w="90" w:type="dxa"/>
            </w:tcMar>
            <w:vAlign w:val="top"/>
          </w:tcPr>
          <w:p>
            <w:pPr>
              <w:spacing w:after="0" w:before="0"/>
            </w:pPr>
            <w:r/>
            <w:r>
              <w:rPr>
                <w:rFonts w:ascii="Cambria" w:hAnsi="Cambria" w:eastAsia="Cambria" w:cs="Cambria"/>
                <w:color w:val="000000"/>
                <w:sz w:val="17"/>
              </w:rPr>
              <w:t>High-significance aspects and controls plus a smaller sample of routine controls.</w:t>
            </w:r>
          </w:p>
        </w:tc>
      </w:tr>
    </w:tbl>
    <w:p>
      <w:pPr>
        <w:pStyle w:val="Heading1"/>
      </w:pPr>
      <w:r>
        <w:t>7. Evaluating Evidence and Writing Findings</w:t>
      </w:r>
    </w:p>
    <w:tbl>
      <w:tblPr>
        <w:tblStyle w:val="TableGrid"/>
        <w:tblW w:type="auto" w:w="0"/>
        <w:jc w:val="center"/>
        <w:tblLayout w:type="fixed"/>
        <w:tblLook w:val="04A0"/>
      </w:tblPr>
      <w:tblGrid>
        <w:gridCol w:w="4677"/>
        <w:gridCol w:w="4677"/>
      </w:tblGrid>
      <w:tr>
        <w:trPr>
          <w:cantSplit/>
          <w:tblHeader w:val="true"/>
        </w:trPr>
        <w:tc>
          <w:tcPr>
            <w:tcW w:type="dxa" w:w="243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Element</w:t>
            </w:r>
          </w:p>
        </w:tc>
        <w:tc>
          <w:tcPr>
            <w:tcW w:type="dxa" w:w="6917"/>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Record</w:t>
            </w:r>
          </w:p>
        </w:tc>
      </w:tr>
      <w:tr>
        <w:trPr>
          <w:cantSplit/>
        </w:trPr>
        <w:tc>
          <w:tcPr>
            <w:tcW w:type="dxa" w:w="2438"/>
            <w:tcMar>
              <w:top w:w="70" w:type="dxa"/>
              <w:left w:w="90" w:type="dxa"/>
              <w:bottom w:w="70" w:type="dxa"/>
              <w:right w:w="90" w:type="dxa"/>
            </w:tcMar>
            <w:vAlign w:val="top"/>
          </w:tcPr>
          <w:p>
            <w:pPr>
              <w:spacing w:after="0" w:before="0"/>
            </w:pPr>
            <w:r/>
            <w:r>
              <w:rPr>
                <w:rFonts w:ascii="Cambria" w:hAnsi="Cambria" w:eastAsia="Cambria" w:cs="Cambria"/>
                <w:color w:val="000000"/>
                <w:sz w:val="17"/>
              </w:rPr>
              <w:t>Criterion</w:t>
            </w:r>
          </w:p>
        </w:tc>
        <w:tc>
          <w:tcPr>
            <w:tcW w:type="dxa" w:w="6917"/>
            <w:tcMar>
              <w:top w:w="70" w:type="dxa"/>
              <w:left w:w="90" w:type="dxa"/>
              <w:bottom w:w="70" w:type="dxa"/>
              <w:right w:w="90" w:type="dxa"/>
            </w:tcMar>
            <w:vAlign w:val="top"/>
          </w:tcPr>
          <w:p>
            <w:pPr>
              <w:spacing w:after="0" w:before="0"/>
            </w:pPr>
            <w:r/>
            <w:r>
              <w:rPr>
                <w:rFonts w:ascii="Cambria" w:hAnsi="Cambria" w:eastAsia="Cambria" w:cs="Cambria"/>
                <w:color w:val="000000"/>
                <w:sz w:val="17"/>
              </w:rPr>
              <w:t>The applicable EMS, internal process, operational-control or verified compliance criterion.</w:t>
            </w:r>
          </w:p>
        </w:tc>
      </w:tr>
      <w:tr>
        <w:trPr>
          <w:cantSplit/>
        </w:trPr>
        <w:tc>
          <w:tcPr>
            <w:tcW w:type="dxa" w:w="2438"/>
            <w:tcMar>
              <w:top w:w="70" w:type="dxa"/>
              <w:left w:w="90" w:type="dxa"/>
              <w:bottom w:w="70" w:type="dxa"/>
              <w:right w:w="90" w:type="dxa"/>
            </w:tcMar>
            <w:vAlign w:val="top"/>
          </w:tcPr>
          <w:p>
            <w:pPr>
              <w:spacing w:after="0" w:before="0"/>
            </w:pPr>
            <w:r/>
            <w:r>
              <w:rPr>
                <w:rFonts w:ascii="Cambria" w:hAnsi="Cambria" w:eastAsia="Cambria" w:cs="Cambria"/>
                <w:color w:val="000000"/>
                <w:sz w:val="17"/>
              </w:rPr>
              <w:t>Evidence</w:t>
            </w:r>
          </w:p>
        </w:tc>
        <w:tc>
          <w:tcPr>
            <w:tcW w:type="dxa" w:w="6917"/>
            <w:tcMar>
              <w:top w:w="70" w:type="dxa"/>
              <w:left w:w="90" w:type="dxa"/>
              <w:bottom w:w="70" w:type="dxa"/>
              <w:right w:w="90" w:type="dxa"/>
            </w:tcMar>
            <w:vAlign w:val="top"/>
          </w:tcPr>
          <w:p>
            <w:pPr>
              <w:spacing w:after="0" w:before="0"/>
            </w:pPr>
            <w:r/>
            <w:r>
              <w:rPr>
                <w:rFonts w:ascii="Cambria" w:hAnsi="Cambria" w:eastAsia="Cambria" w:cs="Cambria"/>
                <w:color w:val="000000"/>
                <w:sz w:val="17"/>
              </w:rPr>
              <w:t>Specific sample, date, record reference, observed condition, monitoring result or corroborated interview evidence.</w:t>
            </w:r>
          </w:p>
        </w:tc>
      </w:tr>
      <w:tr>
        <w:trPr>
          <w:cantSplit/>
        </w:trPr>
        <w:tc>
          <w:tcPr>
            <w:tcW w:type="dxa" w:w="2438"/>
            <w:tcMar>
              <w:top w:w="70" w:type="dxa"/>
              <w:left w:w="90" w:type="dxa"/>
              <w:bottom w:w="70" w:type="dxa"/>
              <w:right w:w="90" w:type="dxa"/>
            </w:tcMar>
            <w:vAlign w:val="top"/>
          </w:tcPr>
          <w:p>
            <w:pPr>
              <w:spacing w:after="0" w:before="0"/>
            </w:pPr>
            <w:r/>
            <w:r>
              <w:rPr>
                <w:rFonts w:ascii="Cambria" w:hAnsi="Cambria" w:eastAsia="Cambria" w:cs="Cambria"/>
                <w:color w:val="000000"/>
                <w:sz w:val="17"/>
              </w:rPr>
              <w:t>Gap</w:t>
            </w:r>
          </w:p>
        </w:tc>
        <w:tc>
          <w:tcPr>
            <w:tcW w:type="dxa" w:w="6917"/>
            <w:tcMar>
              <w:top w:w="70" w:type="dxa"/>
              <w:left w:w="90" w:type="dxa"/>
              <w:bottom w:w="70" w:type="dxa"/>
              <w:right w:w="90" w:type="dxa"/>
            </w:tcMar>
            <w:vAlign w:val="top"/>
          </w:tcPr>
          <w:p>
            <w:pPr>
              <w:spacing w:after="0" w:before="0"/>
            </w:pPr>
            <w:r/>
            <w:r>
              <w:rPr>
                <w:rFonts w:ascii="Cambria" w:hAnsi="Cambria" w:eastAsia="Cambria" w:cs="Cambria"/>
                <w:color w:val="000000"/>
                <w:sz w:val="17"/>
              </w:rPr>
              <w:t>Clear factual statement of what was not fulfilled. Avoid blame, speculation or unsupported statements about legal consequence.</w:t>
            </w:r>
          </w:p>
        </w:tc>
      </w:tr>
      <w:tr>
        <w:trPr>
          <w:cantSplit/>
        </w:trPr>
        <w:tc>
          <w:tcPr>
            <w:tcW w:type="dxa" w:w="2438"/>
            <w:tcMar>
              <w:top w:w="70" w:type="dxa"/>
              <w:left w:w="90" w:type="dxa"/>
              <w:bottom w:w="70" w:type="dxa"/>
              <w:right w:w="90" w:type="dxa"/>
            </w:tcMar>
            <w:vAlign w:val="top"/>
          </w:tcPr>
          <w:p>
            <w:pPr>
              <w:spacing w:after="0" w:before="0"/>
            </w:pPr>
            <w:r/>
            <w:r>
              <w:rPr>
                <w:rFonts w:ascii="Cambria" w:hAnsi="Cambria" w:eastAsia="Cambria" w:cs="Cambria"/>
                <w:color w:val="000000"/>
                <w:sz w:val="17"/>
              </w:rPr>
              <w:t>Impact / significance link</w:t>
            </w:r>
          </w:p>
        </w:tc>
        <w:tc>
          <w:tcPr>
            <w:tcW w:type="dxa" w:w="6917"/>
            <w:tcMar>
              <w:top w:w="70" w:type="dxa"/>
              <w:left w:w="90" w:type="dxa"/>
              <w:bottom w:w="70" w:type="dxa"/>
              <w:right w:w="90" w:type="dxa"/>
            </w:tcMar>
            <w:vAlign w:val="top"/>
          </w:tcPr>
          <w:p>
            <w:pPr>
              <w:spacing w:after="0" w:before="0"/>
            </w:pPr>
            <w:r/>
            <w:r>
              <w:rPr>
                <w:rFonts w:ascii="Cambria" w:hAnsi="Cambria" w:eastAsia="Cambria" w:cs="Cambria"/>
                <w:color w:val="000000"/>
                <w:sz w:val="17"/>
              </w:rPr>
              <w:t>Where useful, connect the finding to environmental significance, compliance exposure, recurring failure or system effectiveness without turning the audit into a new risk assessment.</w:t>
            </w:r>
          </w:p>
        </w:tc>
      </w:tr>
    </w:tbl>
    <w:p>
      <w:pPr>
        <w:pStyle w:val="Heading1"/>
      </w:pPr>
      <w:r>
        <w:t>8. Finding Classification</w:t>
      </w:r>
    </w:p>
    <w:tbl>
      <w:tblPr>
        <w:tblStyle w:val="TableGrid"/>
        <w:tblW w:type="auto" w:w="0"/>
        <w:jc w:val="center"/>
        <w:tblLayout w:type="fixed"/>
        <w:tblLook w:val="04A0"/>
      </w:tblPr>
      <w:tblGrid>
        <w:gridCol w:w="4677"/>
        <w:gridCol w:w="4677"/>
      </w:tblGrid>
      <w:tr>
        <w:trPr>
          <w:cantSplit/>
          <w:tblHeader w:val="true"/>
        </w:trPr>
        <w:tc>
          <w:tcPr>
            <w:tcW w:type="dxa" w:w="2835"/>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Classification</w:t>
            </w:r>
          </w:p>
        </w:tc>
        <w:tc>
          <w:tcPr>
            <w:tcW w:type="dxa" w:w="6520"/>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Practical Use</w:t>
            </w:r>
          </w:p>
        </w:tc>
      </w:tr>
      <w:tr>
        <w:trPr>
          <w:cantSplit/>
        </w:trPr>
        <w:tc>
          <w:tcPr>
            <w:tcW w:type="dxa" w:w="2835"/>
            <w:tcMar>
              <w:top w:w="70" w:type="dxa"/>
              <w:left w:w="90" w:type="dxa"/>
              <w:bottom w:w="70" w:type="dxa"/>
              <w:right w:w="90" w:type="dxa"/>
            </w:tcMar>
            <w:vAlign w:val="top"/>
          </w:tcPr>
          <w:p>
            <w:pPr>
              <w:spacing w:after="0" w:before="0"/>
            </w:pPr>
            <w:r/>
            <w:r>
              <w:rPr>
                <w:rFonts w:ascii="Cambria" w:hAnsi="Cambria" w:eastAsia="Cambria" w:cs="Cambria"/>
                <w:color w:val="000000"/>
                <w:sz w:val="17"/>
              </w:rPr>
              <w:t>Conformity</w:t>
            </w:r>
          </w:p>
        </w:tc>
        <w:tc>
          <w:tcPr>
            <w:tcW w:type="dxa" w:w="6520"/>
            <w:tcMar>
              <w:top w:w="70" w:type="dxa"/>
              <w:left w:w="90" w:type="dxa"/>
              <w:bottom w:w="70" w:type="dxa"/>
              <w:right w:w="90" w:type="dxa"/>
            </w:tcMar>
            <w:vAlign w:val="top"/>
          </w:tcPr>
          <w:p>
            <w:pPr>
              <w:spacing w:after="0" w:before="0"/>
            </w:pPr>
            <w:r/>
            <w:r>
              <w:rPr>
                <w:rFonts w:ascii="Cambria" w:hAnsi="Cambria" w:eastAsia="Cambria" w:cs="Cambria"/>
                <w:color w:val="000000"/>
                <w:sz w:val="17"/>
              </w:rPr>
              <w:t>Evidence supports that the applicable criterion is met for the sampled scope.</w:t>
            </w:r>
          </w:p>
        </w:tc>
      </w:tr>
      <w:tr>
        <w:trPr>
          <w:cantSplit/>
        </w:trPr>
        <w:tc>
          <w:tcPr>
            <w:tcW w:type="dxa" w:w="2835"/>
            <w:tcMar>
              <w:top w:w="70" w:type="dxa"/>
              <w:left w:w="90" w:type="dxa"/>
              <w:bottom w:w="70" w:type="dxa"/>
              <w:right w:w="90" w:type="dxa"/>
            </w:tcMar>
            <w:vAlign w:val="top"/>
          </w:tcPr>
          <w:p>
            <w:pPr>
              <w:spacing w:after="0" w:before="0"/>
            </w:pPr>
            <w:r/>
            <w:r>
              <w:rPr>
                <w:rFonts w:ascii="Cambria" w:hAnsi="Cambria" w:eastAsia="Cambria" w:cs="Cambria"/>
                <w:color w:val="000000"/>
                <w:sz w:val="17"/>
              </w:rPr>
              <w:t>Opportunity for Improvement (OFI)</w:t>
            </w:r>
          </w:p>
        </w:tc>
        <w:tc>
          <w:tcPr>
            <w:tcW w:type="dxa" w:w="6520"/>
            <w:tcMar>
              <w:top w:w="70" w:type="dxa"/>
              <w:left w:w="90" w:type="dxa"/>
              <w:bottom w:w="70" w:type="dxa"/>
              <w:right w:w="90" w:type="dxa"/>
            </w:tcMar>
            <w:vAlign w:val="top"/>
          </w:tcPr>
          <w:p>
            <w:pPr>
              <w:spacing w:after="0" w:before="0"/>
            </w:pPr>
            <w:r/>
            <w:r>
              <w:rPr>
                <w:rFonts w:ascii="Cambria" w:hAnsi="Cambria" w:eastAsia="Cambria" w:cs="Cambria"/>
                <w:color w:val="000000"/>
                <w:sz w:val="17"/>
              </w:rPr>
              <w:t>No nonconformity is demonstrated, but a useful strengthening opportunity is identified.</w:t>
            </w:r>
          </w:p>
        </w:tc>
      </w:tr>
      <w:tr>
        <w:trPr>
          <w:cantSplit/>
        </w:trPr>
        <w:tc>
          <w:tcPr>
            <w:tcW w:type="dxa" w:w="2835"/>
            <w:tcMar>
              <w:top w:w="70" w:type="dxa"/>
              <w:left w:w="90" w:type="dxa"/>
              <w:bottom w:w="70" w:type="dxa"/>
              <w:right w:w="90" w:type="dxa"/>
            </w:tcMar>
            <w:vAlign w:val="top"/>
          </w:tcPr>
          <w:p>
            <w:pPr>
              <w:spacing w:after="0" w:before="0"/>
            </w:pPr>
            <w:r/>
            <w:r>
              <w:rPr>
                <w:rFonts w:ascii="Cambria" w:hAnsi="Cambria" w:eastAsia="Cambria" w:cs="Cambria"/>
                <w:color w:val="000000"/>
                <w:sz w:val="17"/>
              </w:rPr>
              <w:t>Minor Nonconformity</w:t>
            </w:r>
          </w:p>
        </w:tc>
        <w:tc>
          <w:tcPr>
            <w:tcW w:type="dxa" w:w="6520"/>
            <w:tcMar>
              <w:top w:w="70" w:type="dxa"/>
              <w:left w:w="90" w:type="dxa"/>
              <w:bottom w:w="70" w:type="dxa"/>
              <w:right w:w="90" w:type="dxa"/>
            </w:tcMar>
            <w:vAlign w:val="top"/>
          </w:tcPr>
          <w:p>
            <w:pPr>
              <w:spacing w:after="0" w:before="0"/>
            </w:pPr>
            <w:r/>
            <w:r>
              <w:rPr>
                <w:rFonts w:ascii="Cambria" w:hAnsi="Cambria" w:eastAsia="Cambria" w:cs="Cambria"/>
                <w:color w:val="000000"/>
                <w:sz w:val="17"/>
              </w:rPr>
              <w:t>A limited failure to meet a criterion without evidence of a broad or systemic breakdown.</w:t>
            </w:r>
          </w:p>
        </w:tc>
      </w:tr>
      <w:tr>
        <w:trPr>
          <w:cantSplit/>
        </w:trPr>
        <w:tc>
          <w:tcPr>
            <w:tcW w:type="dxa" w:w="2835"/>
            <w:tcMar>
              <w:top w:w="70" w:type="dxa"/>
              <w:left w:w="90" w:type="dxa"/>
              <w:bottom w:w="70" w:type="dxa"/>
              <w:right w:w="90" w:type="dxa"/>
            </w:tcMar>
            <w:vAlign w:val="top"/>
          </w:tcPr>
          <w:p>
            <w:pPr>
              <w:spacing w:after="0" w:before="0"/>
            </w:pPr>
            <w:r/>
            <w:r>
              <w:rPr>
                <w:rFonts w:ascii="Cambria" w:hAnsi="Cambria" w:eastAsia="Cambria" w:cs="Cambria"/>
                <w:color w:val="000000"/>
                <w:sz w:val="17"/>
              </w:rPr>
              <w:t>Major Nonconformity</w:t>
            </w:r>
          </w:p>
        </w:tc>
        <w:tc>
          <w:tcPr>
            <w:tcW w:type="dxa" w:w="6520"/>
            <w:tcMar>
              <w:top w:w="70" w:type="dxa"/>
              <w:left w:w="90" w:type="dxa"/>
              <w:bottom w:w="70" w:type="dxa"/>
              <w:right w:w="90" w:type="dxa"/>
            </w:tcMar>
            <w:vAlign w:val="top"/>
          </w:tcPr>
          <w:p>
            <w:pPr>
              <w:spacing w:after="0" w:before="0"/>
            </w:pPr>
            <w:r/>
            <w:r>
              <w:rPr>
                <w:rFonts w:ascii="Cambria" w:hAnsi="Cambria" w:eastAsia="Cambria" w:cs="Cambria"/>
                <w:color w:val="000000"/>
                <w:sz w:val="17"/>
              </w:rPr>
              <w:t>A significant/systemic failure, absence of an essential EMS element, or repeated unresolved condition that materially undermines the management system.</w:t>
            </w:r>
          </w:p>
        </w:tc>
      </w:tr>
    </w:tbl>
    <w:p>
      <w:r>
        <w:rPr>
          <w:rFonts w:ascii="Cambria" w:hAnsi="Cambria" w:eastAsia="Cambria" w:cs="Cambria"/>
          <w:sz w:val="20"/>
        </w:rPr>
        <w:t>Use the organization’s approved classification rules where they differ. Classification should reflect evidence and system significance, not auditor preference.</w:t>
      </w:r>
    </w:p>
    <w:p>
      <w:pPr>
        <w:pStyle w:val="Heading1"/>
      </w:pPr>
      <w:r>
        <w:t>9. Closing, Reporting and Follow-up</w:t>
      </w:r>
    </w:p>
    <w:tbl>
      <w:tblPr>
        <w:tblStyle w:val="TableGrid"/>
        <w:tblW w:type="auto" w:w="0"/>
        <w:jc w:val="center"/>
        <w:tblLayout w:type="fixed"/>
        <w:tblLook w:val="04A0"/>
      </w:tblPr>
      <w:tblGrid>
        <w:gridCol w:w="4677"/>
        <w:gridCol w:w="4677"/>
      </w:tblGrid>
      <w:tr>
        <w:trPr>
          <w:cantSplit/>
          <w:tblHeader w:val="true"/>
        </w:trPr>
        <w:tc>
          <w:tcPr>
            <w:tcW w:type="dxa" w:w="226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Stage</w:t>
            </w:r>
          </w:p>
        </w:tc>
        <w:tc>
          <w:tcPr>
            <w:tcW w:type="dxa" w:w="7087"/>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Good Practice</w:t>
            </w:r>
          </w:p>
        </w:tc>
      </w:tr>
      <w:tr>
        <w:trPr>
          <w:cantSplit/>
        </w:trPr>
        <w:tc>
          <w:tcPr>
            <w:tcW w:type="dxa" w:w="2268"/>
            <w:tcMar>
              <w:top w:w="70" w:type="dxa"/>
              <w:left w:w="90" w:type="dxa"/>
              <w:bottom w:w="70" w:type="dxa"/>
              <w:right w:w="90" w:type="dxa"/>
            </w:tcMar>
            <w:vAlign w:val="top"/>
          </w:tcPr>
          <w:p>
            <w:pPr>
              <w:spacing w:after="0" w:before="0"/>
            </w:pPr>
            <w:r/>
            <w:r>
              <w:rPr>
                <w:rFonts w:ascii="Cambria" w:hAnsi="Cambria" w:eastAsia="Cambria" w:cs="Cambria"/>
                <w:color w:val="000000"/>
                <w:sz w:val="17"/>
              </w:rPr>
              <w:t>Closing meeting</w:t>
            </w:r>
          </w:p>
        </w:tc>
        <w:tc>
          <w:tcPr>
            <w:tcW w:type="dxa" w:w="7087"/>
            <w:tcMar>
              <w:top w:w="70" w:type="dxa"/>
              <w:left w:w="90" w:type="dxa"/>
              <w:bottom w:w="70" w:type="dxa"/>
              <w:right w:w="90" w:type="dxa"/>
            </w:tcMar>
            <w:vAlign w:val="top"/>
          </w:tcPr>
          <w:p>
            <w:pPr>
              <w:spacing w:after="0" w:before="0"/>
            </w:pPr>
            <w:r/>
            <w:r>
              <w:rPr>
                <w:rFonts w:ascii="Cambria" w:hAnsi="Cambria" w:eastAsia="Cambria" w:cs="Cambria"/>
                <w:color w:val="000000"/>
                <w:sz w:val="17"/>
              </w:rPr>
              <w:t>Present conclusions and findings clearly, confirm factual accuracy, record material disagreement and explain follow-up expectations.</w:t>
            </w:r>
          </w:p>
        </w:tc>
      </w:tr>
      <w:tr>
        <w:trPr>
          <w:cantSplit/>
        </w:trPr>
        <w:tc>
          <w:tcPr>
            <w:tcW w:type="dxa" w:w="2268"/>
            <w:tcMar>
              <w:top w:w="70" w:type="dxa"/>
              <w:left w:w="90" w:type="dxa"/>
              <w:bottom w:w="70" w:type="dxa"/>
              <w:right w:w="90" w:type="dxa"/>
            </w:tcMar>
            <w:vAlign w:val="top"/>
          </w:tcPr>
          <w:p>
            <w:pPr>
              <w:spacing w:after="0" w:before="0"/>
            </w:pPr>
            <w:r/>
            <w:r>
              <w:rPr>
                <w:rFonts w:ascii="Cambria" w:hAnsi="Cambria" w:eastAsia="Cambria" w:cs="Cambria"/>
                <w:color w:val="000000"/>
                <w:sz w:val="17"/>
              </w:rPr>
              <w:t>Audit report</w:t>
            </w:r>
          </w:p>
        </w:tc>
        <w:tc>
          <w:tcPr>
            <w:tcW w:type="dxa" w:w="7087"/>
            <w:tcMar>
              <w:top w:w="70" w:type="dxa"/>
              <w:left w:w="90" w:type="dxa"/>
              <w:bottom w:w="70" w:type="dxa"/>
              <w:right w:w="90" w:type="dxa"/>
            </w:tcMar>
            <w:vAlign w:val="top"/>
          </w:tcPr>
          <w:p>
            <w:pPr>
              <w:spacing w:after="0" w:before="0"/>
            </w:pPr>
            <w:r/>
            <w:r>
              <w:rPr>
                <w:rFonts w:ascii="Cambria" w:hAnsi="Cambria" w:eastAsia="Cambria" w:cs="Cambria"/>
                <w:color w:val="000000"/>
                <w:sz w:val="17"/>
              </w:rPr>
              <w:t>State scope, criteria, coverage, sampling limitations, conclusions and findings. Reference evidence rather than reproducing unnecessary sensitive material.</w:t>
            </w:r>
          </w:p>
        </w:tc>
      </w:tr>
      <w:tr>
        <w:trPr>
          <w:cantSplit/>
        </w:trPr>
        <w:tc>
          <w:tcPr>
            <w:tcW w:type="dxa" w:w="2268"/>
            <w:tcMar>
              <w:top w:w="70" w:type="dxa"/>
              <w:left w:w="90" w:type="dxa"/>
              <w:bottom w:w="70" w:type="dxa"/>
              <w:right w:w="90" w:type="dxa"/>
            </w:tcMar>
            <w:vAlign w:val="top"/>
          </w:tcPr>
          <w:p>
            <w:pPr>
              <w:spacing w:after="0" w:before="0"/>
            </w:pPr>
            <w:r/>
            <w:r>
              <w:rPr>
                <w:rFonts w:ascii="Cambria" w:hAnsi="Cambria" w:eastAsia="Cambria" w:cs="Cambria"/>
                <w:color w:val="000000"/>
                <w:sz w:val="17"/>
              </w:rPr>
              <w:t>Corrective action</w:t>
            </w:r>
          </w:p>
        </w:tc>
        <w:tc>
          <w:tcPr>
            <w:tcW w:type="dxa" w:w="7087"/>
            <w:tcMar>
              <w:top w:w="70" w:type="dxa"/>
              <w:left w:w="90" w:type="dxa"/>
              <w:bottom w:w="70" w:type="dxa"/>
              <w:right w:w="90" w:type="dxa"/>
            </w:tcMar>
            <w:vAlign w:val="top"/>
          </w:tcPr>
          <w:p>
            <w:pPr>
              <w:spacing w:after="0" w:before="0"/>
            </w:pPr>
            <w:r/>
            <w:r>
              <w:rPr>
                <w:rFonts w:ascii="Cambria" w:hAnsi="Cambria" w:eastAsia="Cambria" w:cs="Cambria"/>
                <w:color w:val="000000"/>
                <w:sz w:val="17"/>
              </w:rPr>
              <w:t>The process owner addresses immediate correction as needed, evaluates causes and implements proportionate corrective action.</w:t>
            </w:r>
          </w:p>
        </w:tc>
      </w:tr>
      <w:tr>
        <w:trPr>
          <w:cantSplit/>
        </w:trPr>
        <w:tc>
          <w:tcPr>
            <w:tcW w:type="dxa" w:w="2268"/>
            <w:tcMar>
              <w:top w:w="70" w:type="dxa"/>
              <w:left w:w="90" w:type="dxa"/>
              <w:bottom w:w="70" w:type="dxa"/>
              <w:right w:w="90" w:type="dxa"/>
            </w:tcMar>
            <w:vAlign w:val="top"/>
          </w:tcPr>
          <w:p>
            <w:pPr>
              <w:spacing w:after="0" w:before="0"/>
            </w:pPr>
            <w:r/>
            <w:r>
              <w:rPr>
                <w:rFonts w:ascii="Cambria" w:hAnsi="Cambria" w:eastAsia="Cambria" w:cs="Cambria"/>
                <w:color w:val="000000"/>
                <w:sz w:val="17"/>
              </w:rPr>
              <w:t>Verification</w:t>
            </w:r>
          </w:p>
        </w:tc>
        <w:tc>
          <w:tcPr>
            <w:tcW w:type="dxa" w:w="7087"/>
            <w:tcMar>
              <w:top w:w="70" w:type="dxa"/>
              <w:left w:w="90" w:type="dxa"/>
              <w:bottom w:w="70" w:type="dxa"/>
              <w:right w:w="90" w:type="dxa"/>
            </w:tcMar>
            <w:vAlign w:val="top"/>
          </w:tcPr>
          <w:p>
            <w:pPr>
              <w:spacing w:after="0" w:before="0"/>
            </w:pPr>
            <w:r/>
            <w:r>
              <w:rPr>
                <w:rFonts w:ascii="Cambria" w:hAnsi="Cambria" w:eastAsia="Cambria" w:cs="Cambria"/>
                <w:color w:val="000000"/>
                <w:sz w:val="17"/>
              </w:rPr>
              <w:t>Verify implementation and effectiveness based on significance. Do not close a finding solely because a document was updated.</w:t>
            </w:r>
          </w:p>
        </w:tc>
      </w:tr>
      <w:tr>
        <w:trPr>
          <w:cantSplit/>
        </w:trPr>
        <w:tc>
          <w:tcPr>
            <w:tcW w:type="dxa" w:w="2268"/>
            <w:tcMar>
              <w:top w:w="70" w:type="dxa"/>
              <w:left w:w="90" w:type="dxa"/>
              <w:bottom w:w="70" w:type="dxa"/>
              <w:right w:w="90" w:type="dxa"/>
            </w:tcMar>
            <w:vAlign w:val="top"/>
          </w:tcPr>
          <w:p>
            <w:pPr>
              <w:spacing w:after="0" w:before="0"/>
            </w:pPr>
            <w:r/>
            <w:r>
              <w:rPr>
                <w:rFonts w:ascii="Cambria" w:hAnsi="Cambria" w:eastAsia="Cambria" w:cs="Cambria"/>
                <w:color w:val="000000"/>
                <w:sz w:val="17"/>
              </w:rPr>
              <w:t>Escalation</w:t>
            </w:r>
          </w:p>
        </w:tc>
        <w:tc>
          <w:tcPr>
            <w:tcW w:type="dxa" w:w="7087"/>
            <w:tcMar>
              <w:top w:w="70" w:type="dxa"/>
              <w:left w:w="90" w:type="dxa"/>
              <w:bottom w:w="70" w:type="dxa"/>
              <w:right w:w="90" w:type="dxa"/>
            </w:tcMar>
            <w:vAlign w:val="top"/>
          </w:tcPr>
          <w:p>
            <w:pPr>
              <w:spacing w:after="0" w:before="0"/>
            </w:pPr>
            <w:r/>
            <w:r>
              <w:rPr>
                <w:rFonts w:ascii="Cambria" w:hAnsi="Cambria" w:eastAsia="Cambria" w:cs="Cambria"/>
                <w:color w:val="000000"/>
                <w:sz w:val="17"/>
              </w:rPr>
              <w:t>Escalate material environmental risk, possible noncompliance, emergency weakness or overdue significant actions through EMS governance routes.</w:t>
            </w:r>
          </w:p>
        </w:tc>
      </w:tr>
    </w:tbl>
    <w:p>
      <w:pPr>
        <w:pStyle w:val="Heading1"/>
      </w:pPr>
      <w:r>
        <w:t>10. Common Audit Mistakes to Avoid</w:t>
      </w:r>
    </w:p>
    <w:tbl>
      <w:tblPr>
        <w:tblStyle w:val="TableGrid"/>
        <w:tblW w:type="auto" w:w="0"/>
        <w:jc w:val="center"/>
        <w:tblLayout w:type="fixed"/>
        <w:tblLook w:val="04A0"/>
      </w:tblPr>
      <w:tblGrid>
        <w:gridCol w:w="4677"/>
        <w:gridCol w:w="4677"/>
      </w:tblGrid>
      <w:tr>
        <w:trPr>
          <w:cantSplit/>
          <w:tblHeader w:val="true"/>
        </w:trPr>
        <w:tc>
          <w:tcPr>
            <w:tcW w:type="dxa" w:w="4252"/>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Avoid</w:t>
            </w:r>
          </w:p>
        </w:tc>
        <w:tc>
          <w:tcPr>
            <w:tcW w:type="dxa" w:w="5102"/>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Use Instead</w:t>
            </w:r>
          </w:p>
        </w:tc>
      </w:tr>
      <w:tr>
        <w:trPr>
          <w:cantSplit/>
        </w:trPr>
        <w:tc>
          <w:tcPr>
            <w:tcW w:type="dxa" w:w="4252"/>
            <w:tcMar>
              <w:top w:w="70" w:type="dxa"/>
              <w:left w:w="90" w:type="dxa"/>
              <w:bottom w:w="70" w:type="dxa"/>
              <w:right w:w="90" w:type="dxa"/>
            </w:tcMar>
            <w:vAlign w:val="top"/>
          </w:tcPr>
          <w:p>
            <w:pPr>
              <w:spacing w:after="0" w:before="0"/>
            </w:pPr>
            <w:r/>
            <w:r>
              <w:rPr>
                <w:rFonts w:ascii="Cambria" w:hAnsi="Cambria" w:eastAsia="Cambria" w:cs="Cambria"/>
                <w:color w:val="000000"/>
                <w:sz w:val="17"/>
              </w:rPr>
              <w:t>Reading a checklist without following evidence trails.</w:t>
            </w:r>
          </w:p>
        </w:tc>
        <w:tc>
          <w:tcPr>
            <w:tcW w:type="dxa" w:w="5102"/>
            <w:tcMar>
              <w:top w:w="70" w:type="dxa"/>
              <w:left w:w="90" w:type="dxa"/>
              <w:bottom w:w="70" w:type="dxa"/>
              <w:right w:w="90" w:type="dxa"/>
            </w:tcMar>
            <w:vAlign w:val="top"/>
          </w:tcPr>
          <w:p>
            <w:pPr>
              <w:spacing w:after="0" w:before="0"/>
            </w:pPr>
            <w:r/>
            <w:r>
              <w:rPr>
                <w:rFonts w:ascii="Cambria" w:hAnsi="Cambria" w:eastAsia="Cambria" w:cs="Cambria"/>
                <w:color w:val="000000"/>
                <w:sz w:val="17"/>
              </w:rPr>
              <w:t>Use the checklist for coverage, then trace significant aspects, obligations, controls and exceptions.</w:t>
            </w:r>
          </w:p>
        </w:tc>
      </w:tr>
      <w:tr>
        <w:trPr>
          <w:cantSplit/>
        </w:trPr>
        <w:tc>
          <w:tcPr>
            <w:tcW w:type="dxa" w:w="4252"/>
            <w:tcMar>
              <w:top w:w="70" w:type="dxa"/>
              <w:left w:w="90" w:type="dxa"/>
              <w:bottom w:w="70" w:type="dxa"/>
              <w:right w:w="90" w:type="dxa"/>
            </w:tcMar>
            <w:vAlign w:val="top"/>
          </w:tcPr>
          <w:p>
            <w:pPr>
              <w:spacing w:after="0" w:before="0"/>
            </w:pPr>
            <w:r/>
            <w:r>
              <w:rPr>
                <w:rFonts w:ascii="Cambria" w:hAnsi="Cambria" w:eastAsia="Cambria" w:cs="Cambria"/>
                <w:color w:val="000000"/>
                <w:sz w:val="17"/>
              </w:rPr>
              <w:t>Accepting policy/procedure existence as implementation evidence.</w:t>
            </w:r>
          </w:p>
        </w:tc>
        <w:tc>
          <w:tcPr>
            <w:tcW w:type="dxa" w:w="5102"/>
            <w:tcMar>
              <w:top w:w="70" w:type="dxa"/>
              <w:left w:w="90" w:type="dxa"/>
              <w:bottom w:w="70" w:type="dxa"/>
              <w:right w:w="90" w:type="dxa"/>
            </w:tcMar>
            <w:vAlign w:val="top"/>
          </w:tcPr>
          <w:p>
            <w:pPr>
              <w:spacing w:after="0" w:before="0"/>
            </w:pPr>
            <w:r/>
            <w:r>
              <w:rPr>
                <w:rFonts w:ascii="Cambria" w:hAnsi="Cambria" w:eastAsia="Cambria" w:cs="Cambria"/>
                <w:color w:val="000000"/>
                <w:sz w:val="17"/>
              </w:rPr>
              <w:t>Verify operating records, site conditions, monitoring data and control results.</w:t>
            </w:r>
          </w:p>
        </w:tc>
      </w:tr>
      <w:tr>
        <w:trPr>
          <w:cantSplit/>
        </w:trPr>
        <w:tc>
          <w:tcPr>
            <w:tcW w:type="dxa" w:w="4252"/>
            <w:tcMar>
              <w:top w:w="70" w:type="dxa"/>
              <w:left w:w="90" w:type="dxa"/>
              <w:bottom w:w="70" w:type="dxa"/>
              <w:right w:w="90" w:type="dxa"/>
            </w:tcMar>
            <w:vAlign w:val="top"/>
          </w:tcPr>
          <w:p>
            <w:pPr>
              <w:spacing w:after="0" w:before="0"/>
            </w:pPr>
            <w:r/>
            <w:r>
              <w:rPr>
                <w:rFonts w:ascii="Cambria" w:hAnsi="Cambria" w:eastAsia="Cambria" w:cs="Cambria"/>
                <w:color w:val="000000"/>
                <w:sz w:val="17"/>
              </w:rPr>
              <w:t>Declaring legal noncompliance without verified obligation evidence.</w:t>
            </w:r>
          </w:p>
        </w:tc>
        <w:tc>
          <w:tcPr>
            <w:tcW w:type="dxa" w:w="5102"/>
            <w:tcMar>
              <w:top w:w="70" w:type="dxa"/>
              <w:left w:w="90" w:type="dxa"/>
              <w:bottom w:w="70" w:type="dxa"/>
              <w:right w:w="90" w:type="dxa"/>
            </w:tcMar>
            <w:vAlign w:val="top"/>
          </w:tcPr>
          <w:p>
            <w:pPr>
              <w:spacing w:after="0" w:before="0"/>
            </w:pPr>
            <w:r/>
            <w:r>
              <w:rPr>
                <w:rFonts w:ascii="Cambria" w:hAnsi="Cambria" w:eastAsia="Cambria" w:cs="Cambria"/>
                <w:color w:val="000000"/>
                <w:sz w:val="17"/>
              </w:rPr>
              <w:t>Record the observed EMS/evidence gap and escalate legal applicability to an authorized compliance review when needed.</w:t>
            </w:r>
          </w:p>
        </w:tc>
      </w:tr>
      <w:tr>
        <w:trPr>
          <w:cantSplit/>
        </w:trPr>
        <w:tc>
          <w:tcPr>
            <w:tcW w:type="dxa" w:w="4252"/>
            <w:tcMar>
              <w:top w:w="70" w:type="dxa"/>
              <w:left w:w="90" w:type="dxa"/>
              <w:bottom w:w="70" w:type="dxa"/>
              <w:right w:w="90" w:type="dxa"/>
            </w:tcMar>
            <w:vAlign w:val="top"/>
          </w:tcPr>
          <w:p>
            <w:pPr>
              <w:spacing w:after="0" w:before="0"/>
            </w:pPr>
            <w:r/>
            <w:r>
              <w:rPr>
                <w:rFonts w:ascii="Cambria" w:hAnsi="Cambria" w:eastAsia="Cambria" w:cs="Cambria"/>
                <w:color w:val="000000"/>
                <w:sz w:val="17"/>
              </w:rPr>
              <w:t>Writing “best practice” as mandatory criteria.</w:t>
            </w:r>
          </w:p>
        </w:tc>
        <w:tc>
          <w:tcPr>
            <w:tcW w:type="dxa" w:w="5102"/>
            <w:tcMar>
              <w:top w:w="70" w:type="dxa"/>
              <w:left w:w="90" w:type="dxa"/>
              <w:bottom w:w="70" w:type="dxa"/>
              <w:right w:w="90" w:type="dxa"/>
            </w:tcMar>
            <w:vAlign w:val="top"/>
          </w:tcPr>
          <w:p>
            <w:pPr>
              <w:spacing w:after="0" w:before="0"/>
            </w:pPr>
            <w:r/>
            <w:r>
              <w:rPr>
                <w:rFonts w:ascii="Cambria" w:hAnsi="Cambria" w:eastAsia="Cambria" w:cs="Cambria"/>
                <w:color w:val="000000"/>
                <w:sz w:val="17"/>
              </w:rPr>
              <w:t>Use agreed audit criteria; record optional strengthening ideas as OFIs.</w:t>
            </w:r>
          </w:p>
        </w:tc>
      </w:tr>
      <w:tr>
        <w:trPr>
          <w:cantSplit/>
        </w:trPr>
        <w:tc>
          <w:tcPr>
            <w:tcW w:type="dxa" w:w="4252"/>
            <w:tcMar>
              <w:top w:w="70" w:type="dxa"/>
              <w:left w:w="90" w:type="dxa"/>
              <w:bottom w:w="70" w:type="dxa"/>
              <w:right w:w="90" w:type="dxa"/>
            </w:tcMar>
            <w:vAlign w:val="top"/>
          </w:tcPr>
          <w:p>
            <w:pPr>
              <w:spacing w:after="0" w:before="0"/>
            </w:pPr>
            <w:r/>
            <w:r>
              <w:rPr>
                <w:rFonts w:ascii="Cambria" w:hAnsi="Cambria" w:eastAsia="Cambria" w:cs="Cambria"/>
                <w:color w:val="000000"/>
                <w:sz w:val="17"/>
              </w:rPr>
              <w:t>Closing findings after document updates only.</w:t>
            </w:r>
          </w:p>
        </w:tc>
        <w:tc>
          <w:tcPr>
            <w:tcW w:type="dxa" w:w="5102"/>
            <w:tcMar>
              <w:top w:w="70" w:type="dxa"/>
              <w:left w:w="90" w:type="dxa"/>
              <w:bottom w:w="70" w:type="dxa"/>
              <w:right w:w="90" w:type="dxa"/>
            </w:tcMar>
            <w:vAlign w:val="top"/>
          </w:tcPr>
          <w:p>
            <w:pPr>
              <w:spacing w:after="0" w:before="0"/>
            </w:pPr>
            <w:r/>
            <w:r>
              <w:rPr>
                <w:rFonts w:ascii="Cambria" w:hAnsi="Cambria" w:eastAsia="Cambria" w:cs="Cambria"/>
                <w:color w:val="000000"/>
                <w:sz w:val="17"/>
              </w:rPr>
              <w:t>Verify implementation and, when relevant, effectiveness.</w:t>
            </w:r>
          </w:p>
        </w:tc>
      </w:tr>
    </w:tbl>
    <w:p>
      <w:pPr>
        <w:pStyle w:val="Heading1"/>
      </w:pPr>
      <w:r>
        <w:t>11. Auditor Quick Reference Checklist</w:t>
      </w:r>
    </w:p>
    <w:tbl>
      <w:tblPr>
        <w:tblStyle w:val="TableGrid"/>
        <w:tblW w:type="auto" w:w="0"/>
        <w:jc w:val="center"/>
        <w:tblLayout w:type="fixed"/>
        <w:tblLook w:val="04A0"/>
      </w:tblPr>
      <w:tblGrid>
        <w:gridCol w:w="3118"/>
        <w:gridCol w:w="3118"/>
        <w:gridCol w:w="3118"/>
      </w:tblGrid>
      <w:tr>
        <w:trPr>
          <w:cantSplit/>
          <w:tblHeader w:val="true"/>
        </w:trPr>
        <w:tc>
          <w:tcPr>
            <w:tcW w:type="dxa" w:w="311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Before</w:t>
            </w:r>
          </w:p>
        </w:tc>
        <w:tc>
          <w:tcPr>
            <w:tcW w:type="dxa" w:w="311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During</w:t>
            </w:r>
          </w:p>
        </w:tc>
        <w:tc>
          <w:tcPr>
            <w:tcW w:type="dxa" w:w="3118"/>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After</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Scope / criteria confirmed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Opening meeting completed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Findings fact-checked</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Significant aspects reviewed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Site observations recorded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Closing meeting completed</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Compliance information reviewed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Samples traceable</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Report issued</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Changes / incidents reviewed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Criterion + evidence + gap used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Actions tracked</w:t>
            </w:r>
          </w:p>
        </w:tc>
      </w:tr>
      <w:tr>
        <w:trPr>
          <w:cantSplit/>
        </w:trPr>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Objectivity / logistics confirmed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Limitations recorded</w:t>
            </w:r>
          </w:p>
        </w:tc>
        <w:tc>
          <w:tcPr>
            <w:tcW w:type="dxa" w:w="3118"/>
            <w:tcMar>
              <w:top w:w="70" w:type="dxa"/>
              <w:left w:w="90" w:type="dxa"/>
              <w:bottom w:w="70" w:type="dxa"/>
              <w:right w:w="90" w:type="dxa"/>
            </w:tcMar>
            <w:vAlign w:val="top"/>
          </w:tcPr>
          <w:p>
            <w:pPr>
              <w:spacing w:after="0" w:before="0"/>
            </w:pPr>
            <w:r/>
            <w:r>
              <w:rPr>
                <w:rFonts w:ascii="Cambria" w:hAnsi="Cambria" w:eastAsia="Cambria" w:cs="Cambria"/>
                <w:color w:val="000000"/>
                <w:sz w:val="17"/>
              </w:rPr>
              <w:t>[ ] Effectiveness verified before closure</w:t>
            </w:r>
          </w:p>
        </w:tc>
      </w:tr>
    </w:tbl>
    <w:p>
      <w:pPr>
        <w:pStyle w:val="Heading1"/>
      </w:pPr>
      <w:r>
        <w:t>Related Documents</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Internal Environmental Audit Procedure</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Internal Environmental Audit Report</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Internal Environmental Audit Checklist</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Environmental Aspects &amp; Impacts Register</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Compliance Obligations / Evaluation Register</w:t>
      </w:r>
    </w:p>
    <w:p>
      <w:pPr>
        <w:spacing w:after="40"/>
        <w:ind w:left="227" w:hanging="170"/>
      </w:pPr>
      <w:r>
        <w:rPr>
          <w:rFonts w:ascii="Cambria" w:hAnsi="Cambria" w:eastAsia="Cambria" w:cs="Cambria"/>
          <w:b/>
          <w:color w:val="1F4E79"/>
          <w:sz w:val="20"/>
        </w:rPr>
        <w:t xml:space="preserve">• </w:t>
      </w:r>
      <w:r>
        <w:rPr>
          <w:rFonts w:ascii="Cambria" w:hAnsi="Cambria" w:eastAsia="Cambria" w:cs="Cambria"/>
          <w:sz w:val="20"/>
        </w:rPr>
        <w:t>Environmental Corrective Action records</w:t>
      </w:r>
    </w:p>
    <w:p>
      <w:pPr>
        <w:pStyle w:val="Heading1"/>
      </w:pPr>
      <w:r>
        <w:t>Approval and Revision</w:t>
      </w:r>
    </w:p>
    <w:tbl>
      <w:tblPr>
        <w:tblStyle w:val="TableGrid"/>
        <w:tblW w:type="auto" w:w="0"/>
        <w:jc w:val="center"/>
        <w:tblLayout w:type="fixed"/>
        <w:tblLook w:val="04A0"/>
      </w:tblPr>
      <w:tblGrid>
        <w:gridCol w:w="2339"/>
        <w:gridCol w:w="2339"/>
        <w:gridCol w:w="2339"/>
        <w:gridCol w:w="2339"/>
      </w:tblGrid>
      <w:tr>
        <w:trPr>
          <w:cantSplit/>
          <w:tblHeader w:val="true"/>
        </w:trPr>
        <w:tc>
          <w:tcPr>
            <w:tcW w:type="dxa" w:w="204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Role</w:t>
            </w:r>
          </w:p>
        </w:tc>
        <w:tc>
          <w:tcPr>
            <w:tcW w:type="dxa" w:w="272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Name / Position</w:t>
            </w:r>
          </w:p>
        </w:tc>
        <w:tc>
          <w:tcPr>
            <w:tcW w:type="dxa" w:w="272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Approval / Signature</w:t>
            </w:r>
          </w:p>
        </w:tc>
        <w:tc>
          <w:tcPr>
            <w:tcW w:type="dxa" w:w="1871"/>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Date</w:t>
            </w:r>
          </w:p>
        </w:tc>
      </w:tr>
      <w:tr>
        <w:trPr>
          <w:cantSplit/>
        </w:trPr>
        <w:tc>
          <w:tcPr>
            <w:tcW w:type="dxa" w:w="2041"/>
            <w:tcMar>
              <w:top w:w="70" w:type="dxa"/>
              <w:left w:w="90" w:type="dxa"/>
              <w:bottom w:w="70" w:type="dxa"/>
              <w:right w:w="90" w:type="dxa"/>
            </w:tcMar>
            <w:vAlign w:val="top"/>
          </w:tcPr>
          <w:p>
            <w:pPr>
              <w:spacing w:after="0" w:before="0"/>
            </w:pPr>
            <w:r/>
            <w:r>
              <w:rPr>
                <w:rFonts w:ascii="Cambria" w:hAnsi="Cambria" w:eastAsia="Cambria" w:cs="Cambria"/>
                <w:color w:val="000000"/>
                <w:sz w:val="17"/>
              </w:rPr>
              <w:t>Prepared / Maintained by</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Environmental Manager</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r>
      <w:tr>
        <w:trPr>
          <w:cantSplit/>
        </w:trPr>
        <w:tc>
          <w:tcPr>
            <w:tcW w:type="dxa" w:w="2041"/>
            <w:tcMar>
              <w:top w:w="70" w:type="dxa"/>
              <w:left w:w="90" w:type="dxa"/>
              <w:bottom w:w="70" w:type="dxa"/>
              <w:right w:w="90" w:type="dxa"/>
            </w:tcMar>
            <w:vAlign w:val="top"/>
          </w:tcPr>
          <w:p>
            <w:pPr>
              <w:spacing w:after="0" w:before="0"/>
            </w:pPr>
            <w:r/>
            <w:r>
              <w:rPr>
                <w:rFonts w:ascii="Cambria" w:hAnsi="Cambria" w:eastAsia="Cambria" w:cs="Cambria"/>
                <w:color w:val="000000"/>
                <w:sz w:val="17"/>
              </w:rPr>
              <w:t>Reviewed by</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[REVIEWER / FUNCTION]</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r>
      <w:tr>
        <w:trPr>
          <w:cantSplit/>
        </w:trPr>
        <w:tc>
          <w:tcPr>
            <w:tcW w:type="dxa" w:w="2041"/>
            <w:tcMar>
              <w:top w:w="70" w:type="dxa"/>
              <w:left w:w="90" w:type="dxa"/>
              <w:bottom w:w="70" w:type="dxa"/>
              <w:right w:w="90" w:type="dxa"/>
            </w:tcMar>
            <w:vAlign w:val="top"/>
          </w:tcPr>
          <w:p>
            <w:pPr>
              <w:spacing w:after="0" w:before="0"/>
            </w:pPr>
            <w:r/>
            <w:r>
              <w:rPr>
                <w:rFonts w:ascii="Cambria" w:hAnsi="Cambria" w:eastAsia="Cambria" w:cs="Cambria"/>
                <w:color w:val="000000"/>
                <w:sz w:val="17"/>
              </w:rPr>
              <w:t>Approved by</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t>Top Management</w:t>
            </w:r>
          </w:p>
        </w:tc>
        <w:tc>
          <w:tcPr>
            <w:tcW w:type="dxa" w:w="272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c>
          <w:tcPr>
            <w:tcW w:type="dxa" w:w="1871"/>
            <w:tcMar>
              <w:top w:w="70" w:type="dxa"/>
              <w:left w:w="90" w:type="dxa"/>
              <w:bottom w:w="70" w:type="dxa"/>
              <w:right w:w="90" w:type="dxa"/>
            </w:tcMar>
            <w:vAlign w:val="top"/>
          </w:tcPr>
          <w:p>
            <w:pPr>
              <w:spacing w:after="0" w:before="0"/>
            </w:pPr>
            <w:r/>
            <w:r>
              <w:rPr>
                <w:rFonts w:ascii="Cambria" w:hAnsi="Cambria" w:eastAsia="Cambria" w:cs="Cambria"/>
                <w:color w:val="000000"/>
                <w:sz w:val="17"/>
              </w:rPr>
            </w:r>
          </w:p>
        </w:tc>
      </w:tr>
    </w:tbl>
    <w:p>
      <w:r>
        <w:rPr>
          <w:rFonts w:ascii="Cambria" w:hAnsi="Cambria" w:eastAsia="Cambria" w:cs="Cambria"/>
          <w:b/>
          <w:color w:val="1F4E79"/>
          <w:sz w:val="20"/>
        </w:rPr>
        <w:t>Revision History</w:t>
      </w:r>
    </w:p>
    <w:tbl>
      <w:tblPr>
        <w:tblStyle w:val="TableGrid"/>
        <w:tblW w:type="auto" w:w="0"/>
        <w:jc w:val="center"/>
        <w:tblLayout w:type="fixed"/>
        <w:tblLook w:val="04A0"/>
      </w:tblPr>
      <w:tblGrid>
        <w:gridCol w:w="3118"/>
        <w:gridCol w:w="3118"/>
        <w:gridCol w:w="3118"/>
      </w:tblGrid>
      <w:tr>
        <w:trPr>
          <w:cantSplit/>
          <w:tblHeader w:val="true"/>
        </w:trPr>
        <w:tc>
          <w:tcPr>
            <w:tcW w:type="dxa" w:w="1417"/>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Version</w:t>
            </w:r>
          </w:p>
        </w:tc>
        <w:tc>
          <w:tcPr>
            <w:tcW w:type="dxa" w:w="1984"/>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Date</w:t>
            </w:r>
          </w:p>
        </w:tc>
        <w:tc>
          <w:tcPr>
            <w:tcW w:type="dxa" w:w="5953"/>
            <w:shd w:val="clear" w:color="auto" w:fill="D9EAF7"/>
            <w:tcMar>
              <w:top w:w="70" w:type="dxa"/>
              <w:left w:w="90" w:type="dxa"/>
              <w:bottom w:w="70" w:type="dxa"/>
              <w:right w:w="90" w:type="dxa"/>
            </w:tcMar>
            <w:vAlign w:val="top"/>
          </w:tcPr>
          <w:p>
            <w:pPr>
              <w:spacing w:after="0" w:before="0"/>
            </w:pPr>
            <w:r/>
            <w:r>
              <w:rPr>
                <w:rFonts w:ascii="Cambria" w:hAnsi="Cambria" w:eastAsia="Cambria" w:cs="Cambria"/>
                <w:b/>
                <w:color w:val="000000"/>
                <w:sz w:val="17"/>
              </w:rPr>
              <w:t>Description</w:t>
            </w:r>
          </w:p>
        </w:tc>
      </w:tr>
      <w:tr>
        <w:trPr>
          <w:cantSplit/>
        </w:trPr>
        <w:tc>
          <w:tcPr>
            <w:tcW w:type="dxa" w:w="1417"/>
            <w:tcMar>
              <w:top w:w="70" w:type="dxa"/>
              <w:left w:w="90" w:type="dxa"/>
              <w:bottom w:w="70" w:type="dxa"/>
              <w:right w:w="90" w:type="dxa"/>
            </w:tcMar>
            <w:vAlign w:val="top"/>
          </w:tcPr>
          <w:p>
            <w:pPr>
              <w:spacing w:after="0" w:before="0"/>
            </w:pPr>
            <w:r/>
            <w:r>
              <w:rPr>
                <w:rFonts w:ascii="Cambria" w:hAnsi="Cambria" w:eastAsia="Cambria" w:cs="Cambria"/>
                <w:color w:val="000000"/>
                <w:sz w:val="17"/>
              </w:rPr>
              <w:t>1.0</w:t>
            </w:r>
          </w:p>
        </w:tc>
        <w:tc>
          <w:tcPr>
            <w:tcW w:type="dxa" w:w="1984"/>
            <w:tcMar>
              <w:top w:w="70" w:type="dxa"/>
              <w:left w:w="90" w:type="dxa"/>
              <w:bottom w:w="70" w:type="dxa"/>
              <w:right w:w="90" w:type="dxa"/>
            </w:tcMar>
            <w:vAlign w:val="top"/>
          </w:tcPr>
          <w:p>
            <w:pPr>
              <w:spacing w:after="0" w:before="0"/>
            </w:pPr>
            <w:r/>
            <w:r>
              <w:rPr>
                <w:rFonts w:ascii="Cambria" w:hAnsi="Cambria" w:eastAsia="Cambria" w:cs="Cambria"/>
                <w:color w:val="000000"/>
                <w:sz w:val="17"/>
              </w:rPr>
              <w:t>2026-09-18</w:t>
            </w:r>
          </w:p>
        </w:tc>
        <w:tc>
          <w:tcPr>
            <w:tcW w:type="dxa" w:w="5953"/>
            <w:tcMar>
              <w:top w:w="70" w:type="dxa"/>
              <w:left w:w="90" w:type="dxa"/>
              <w:bottom w:w="70" w:type="dxa"/>
              <w:right w:w="90" w:type="dxa"/>
            </w:tcMar>
            <w:vAlign w:val="top"/>
          </w:tcPr>
          <w:p>
            <w:pPr>
              <w:spacing w:after="0" w:before="0"/>
            </w:pPr>
            <w:r/>
            <w:r>
              <w:rPr>
                <w:rFonts w:ascii="Cambria" w:hAnsi="Cambria" w:eastAsia="Cambria" w:cs="Cambria"/>
                <w:color w:val="000000"/>
                <w:sz w:val="17"/>
              </w:rPr>
              <w:t>Initial issue</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0"/>
      <w:jc w:val="center"/>
    </w:pPr>
    <w:r/>
    <w:r>
      <w:rPr>
        <w:rFonts w:ascii="Cambria" w:hAnsi="Cambria" w:eastAsia="Cambria" w:cs="Cambria"/>
        <w:color w:val="666666"/>
        <w:sz w:val="16"/>
      </w:rPr>
      <w:t>Copyright © ISO Toolkits | www.iso-toolkits.org | info@iso-toolkits.org</w:t>
    </w:r>
  </w:p>
  <w:p>
    <w:pPr>
      <w:spacing w:before="0" w:after="0"/>
      <w:jc w:val="center"/>
    </w:pPr>
    <w:r>
      <w:rPr>
        <w:rFonts w:ascii="Cambria" w:hAnsi="Cambria" w:eastAsia="Cambria" w:cs="Cambria"/>
        <w:color w:val="666666"/>
        <w:sz w:val="16"/>
      </w:rPr>
      <w:t xml:space="preserve">CONTROLLED DOCUMENT | INTERNAL | Page </w:t>
    </w:r>
    <w:r>
      <w:rPr>
        <w:rFonts w:ascii="Cambria" w:hAnsi="Cambria" w:eastAsia="Cambria" w:cs="Cambria"/>
        <w:sz w:val="16"/>
      </w:rPr>
      <w:fldChar w:fldCharType="begin"/>
      <w:instrText xml:space="preserve"> PAGE </w:instrText>
      <w:fldChar w:fldCharType="separate"/>
      <w:t>1</w:t>
      <w:fldChar w:fldCharType="end"/>
    </w:r>
    <w:r>
      <w:rPr>
        <w:rFonts w:ascii="Cambria" w:hAnsi="Cambria" w:eastAsia="Cambria" w:cs="Cambria"/>
        <w:color w:val="666666"/>
        <w:sz w:val="16"/>
      </w:rPr>
      <w:t xml:space="preserve"> of </w:t>
    </w:r>
    <w:r>
      <w:rPr>
        <w:rFonts w:ascii="Cambria" w:hAnsi="Cambria" w:eastAsia="Cambria" w:cs="Cambria"/>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587"/>
          <w:tcBorders>
            <w:bottom w:val="single" w:sz="6" w:color="1F4E79"/>
          </w:tcBorders>
          <w:tcMar>
            <w:top w:w="40" w:type="dxa"/>
            <w:left w:w="60" w:type="dxa"/>
            <w:bottom w:w="40" w:type="dxa"/>
            <w:right w:w="60" w:type="dxa"/>
          </w:tcMar>
          <w:vAlign w:val="center"/>
        </w:tcPr>
        <w:p>
          <w:pPr>
            <w:spacing w:after="0"/>
            <w:jc w:val="center"/>
          </w:pPr>
          <w:r>
            <w:rPr>
              <w:rFonts w:ascii="Cambria" w:hAnsi="Cambria" w:eastAsia="Cambria" w:cs="Cambria"/>
              <w:b w:val="0"/>
              <w:color w:val="000000"/>
              <w:sz w:val="16"/>
            </w:rPr>
            <w:t>ORGANIZATION</w:t>
          </w:r>
          <w:r>
            <w:br/>
          </w:r>
          <w:r>
            <w:rPr>
              <w:rFonts w:ascii="Cambria" w:hAnsi="Cambria" w:eastAsia="Cambria" w:cs="Cambria"/>
              <w:b w:val="0"/>
              <w:color w:val="000000"/>
              <w:sz w:val="16"/>
            </w:rPr>
            <w:t>LOGO</w:t>
          </w:r>
        </w:p>
      </w:tc>
      <w:tc>
        <w:tcPr>
          <w:tcW w:type="dxa" w:w="5159"/>
          <w:tcBorders>
            <w:bottom w:val="single" w:sz="6" w:color="1F4E79"/>
          </w:tcBorders>
          <w:tcMar>
            <w:top w:w="40" w:type="dxa"/>
            <w:left w:w="60" w:type="dxa"/>
            <w:bottom w:w="40" w:type="dxa"/>
            <w:right w:w="60" w:type="dxa"/>
          </w:tcMar>
          <w:vAlign w:val="center"/>
        </w:tcPr>
        <w:p>
          <w:pPr>
            <w:spacing w:after="0"/>
            <w:jc w:val="center"/>
          </w:pPr>
          <w:r>
            <w:rPr>
              <w:rFonts w:ascii="Cambria" w:hAnsi="Cambria" w:eastAsia="Cambria" w:cs="Cambria"/>
              <w:b w:val="0"/>
              <w:color w:val="000000"/>
              <w:sz w:val="18"/>
            </w:rPr>
            <w:t>[ORGANIZATION NAME]</w:t>
          </w:r>
          <w:r>
            <w:br/>
          </w:r>
          <w:r>
            <w:rPr>
              <w:rFonts w:ascii="Cambria" w:hAnsi="Cambria" w:eastAsia="Cambria" w:cs="Cambria"/>
              <w:b/>
              <w:color w:val="1F4E79"/>
              <w:sz w:val="18"/>
            </w:rPr>
            <w:t>Environmental Audit Guidance</w:t>
          </w:r>
        </w:p>
      </w:tc>
      <w:tc>
        <w:tcPr>
          <w:tcW w:type="dxa" w:w="2608"/>
          <w:tcBorders>
            <w:bottom w:val="single" w:sz="6" w:color="1F4E79"/>
          </w:tcBorders>
          <w:tcMar>
            <w:top w:w="40" w:type="dxa"/>
            <w:left w:w="60" w:type="dxa"/>
            <w:bottom w:w="40" w:type="dxa"/>
            <w:right w:w="60" w:type="dxa"/>
          </w:tcMar>
          <w:vAlign w:val="center"/>
        </w:tcPr>
        <w:p>
          <w:pPr>
            <w:spacing w:after="0"/>
            <w:jc w:val="right"/>
          </w:pPr>
          <w:r>
            <w:rPr>
              <w:rFonts w:ascii="Cambria" w:hAnsi="Cambria" w:eastAsia="Cambria" w:cs="Cambria"/>
              <w:b/>
              <w:color w:val="000000"/>
              <w:sz w:val="16"/>
            </w:rPr>
            <w:t>EMS-AUD-003</w:t>
          </w:r>
          <w:r>
            <w:br/>
          </w:r>
          <w:r>
            <w:rPr>
              <w:rFonts w:ascii="Cambria" w:hAnsi="Cambria" w:eastAsia="Cambria" w:cs="Cambria"/>
              <w:b w:val="0"/>
              <w:color w:val="000000"/>
              <w:sz w:val="16"/>
            </w:rPr>
            <w:t>Version 1.0</w:t>
          </w:r>
          <w:r>
            <w:br/>
          </w:r>
          <w:r>
            <w:rPr>
              <w:rFonts w:ascii="Cambria" w:hAnsi="Cambria" w:eastAsia="Cambria" w:cs="Cambria"/>
              <w:b w:val="0"/>
              <w:color w:val="000000"/>
              <w:sz w:val="16"/>
            </w:rPr>
            <w:t>Effective 2026-09-18</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mbria" w:hAnsi="Cambria" w:eastAsia="Cambria" w:cs="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Cambria" w:hAnsi="Cambria"/>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Cambria" w:hAnsi="Cambria"/>
      <w:i/>
      <w:color w:val="66666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Audit Guidance</dc:title>
  <dc:subject>Environmental Management System document</dc:subject>
  <dc:creator>ISO Toolkits</dc:creator>
  <cp:keywords>ISO 14001, EMS, environmental audit, internal audit, ISO Toolkits</cp:keywords>
  <dc:description>www.iso-toolkits.org | info@iso-toolkits.org</dc:description>
  <cp:lastModifiedBy/>
  <cp:revision>1</cp:revision>
  <dcterms:created xsi:type="dcterms:W3CDTF">2013-12-23T23:15:00Z</dcterms:created>
  <dcterms:modified xsi:type="dcterms:W3CDTF">2013-12-23T23:15:00Z</dcterms:modified>
  <cp:category/>
</cp:coreProperties>
</file>