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Title"/>
        <w:jc w:val="left"/>
      </w:pPr>
      <w:r>
        <w:rPr>
          <w:rFonts w:ascii="Cambria" w:hAnsi="Cambria" w:eastAsia="Cambria" w:cs="Cambria"/>
          <w:b/>
          <w:color w:val="1F4E79"/>
          <w:sz w:val="40"/>
        </w:rPr>
        <w:t>DOCUMENTED INFORMATION GUIDANCE</w:t>
      </w:r>
    </w:p>
    <w:p>
      <w:pPr>
        <w:spacing w:after="160"/>
      </w:pPr>
      <w:r>
        <w:rPr>
          <w:rFonts w:ascii="Cambria" w:hAnsi="Cambria" w:eastAsia="Cambria" w:cs="Cambria"/>
          <w:b/>
          <w:sz w:val="22"/>
        </w:rPr>
        <w:t>ISO 14001:2026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8"/>
              </w:rPr>
              <w:t>Environmental Manager</w:t>
            </w:r>
          </w:p>
        </w:tc>
        <w:tc>
          <w:tcPr>
            <w:tcW w:type="dxa" w:w="1928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8"/>
              </w:rPr>
              <w:t>Approver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8"/>
              </w:rPr>
              <w:t>Top Management</w:t>
            </w:r>
          </w:p>
        </w:tc>
      </w:tr>
      <w:tr>
        <w:trPr>
          <w:cantSplit/>
        </w:trPr>
        <w:tc>
          <w:tcPr>
            <w:tcW w:type="dxa" w:w="1928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8"/>
              </w:rPr>
              <w:t>Classification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8"/>
              </w:rPr>
              <w:t>INTERNAL</w:t>
            </w:r>
          </w:p>
        </w:tc>
        <w:tc>
          <w:tcPr>
            <w:tcW w:type="dxa" w:w="1928"/>
            <w:shd w:val="clear" w:color="auto" w:fill="EAF3F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8"/>
              </w:rPr>
              <w:t>Next Review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 w:val="0"/>
                <w:color w:val="000000"/>
                <w:sz w:val="18"/>
              </w:rPr>
              <w:t>2027-09-18</w:t>
            </w:r>
          </w:p>
        </w:tc>
      </w:tr>
    </w:tbl>
    <w:p>
      <w:pPr>
        <w:pStyle w:val="SmallNote"/>
      </w:pPr>
      <w:r>
        <w:t>Built using Word 2007-compatible OOXML rules. Replace bracketed organization fields before controlled use.</w:t>
      </w:r>
    </w:p>
    <w:p>
      <w:pPr>
        <w:pStyle w:val="Heading1"/>
      </w:pPr>
      <w:r>
        <w:t>1. Purpose and Use</w:t>
      </w:r>
    </w:p>
    <w:p>
      <w:r>
        <w:rPr>
          <w:rFonts w:ascii="Cambria" w:hAnsi="Cambria" w:eastAsia="Cambria" w:cs="Cambria"/>
          <w:sz w:val="20"/>
        </w:rPr>
        <w:t>Use this guidance to decide what EMS information should be documented and how to keep it useful, controlled and audit-ready. It supports the Documented Information Procedure but does not require every EMS activity to have a separate procedure or form.</w:t>
      </w:r>
    </w:p>
    <w:p>
      <w:pPr>
        <w:pStyle w:val="Heading1"/>
      </w:pPr>
      <w:r>
        <w:t>2. Keep Documentation Proportionate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Document what people need to perform environmental controls consistently, meet applicable obligations and demonstrate results.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Use more control where environmental significance, complexity, regulatory exposure, change frequency or evidence sensitivity is higher.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Avoid creating documents only to mirror ISO headings; one practical record can support several EMS needs.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Prefer a clear source of truth over multiple copies maintained by different functions.</w:t>
      </w:r>
    </w:p>
    <w:p>
      <w:pPr>
        <w:pStyle w:val="Heading1"/>
      </w:pPr>
      <w:r>
        <w:t>3. Decide What Needs to Be Controlled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4422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Question</w:t>
            </w:r>
          </w:p>
        </w:tc>
        <w:tc>
          <w:tcPr>
            <w:tcW w:type="dxa" w:w="4932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Practical Decision</w:t>
            </w:r>
          </w:p>
        </w:tc>
      </w:tr>
      <w:tr>
        <w:trPr>
          <w:cantSplit/>
        </w:trPr>
        <w:tc>
          <w:tcPr>
            <w:tcW w:type="dxa" w:w="442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Would inconsistent execution create material environmental or compliance risk?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Maintain clear operating criteria, instructions or other controlled information.</w:t>
            </w:r>
          </w:p>
        </w:tc>
      </w:tr>
      <w:tr>
        <w:trPr>
          <w:cantSplit/>
        </w:trPr>
        <w:tc>
          <w:tcPr>
            <w:tcW w:type="dxa" w:w="442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Is evidence needed to show an activity/result occurred?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Create a record with sufficient identity, date/context, result and responsibility.</w:t>
            </w:r>
          </w:p>
        </w:tc>
      </w:tr>
      <w:tr>
        <w:trPr>
          <w:cantSplit/>
        </w:trPr>
        <w:tc>
          <w:tcPr>
            <w:tcW w:type="dxa" w:w="442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Does information come from an external authority or provider?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Assign an owner to verify source, applicability/currentness and access.</w:t>
            </w:r>
          </w:p>
        </w:tc>
      </w:tr>
      <w:tr>
        <w:trPr>
          <w:cantSplit/>
        </w:trPr>
        <w:tc>
          <w:tcPr>
            <w:tcW w:type="dxa" w:w="442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Does the information change frequently?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 a controlled system/list with clear current status instead of repeatedly issuing static documents.</w:t>
            </w:r>
          </w:p>
        </w:tc>
      </w:tr>
      <w:tr>
        <w:trPr>
          <w:cantSplit/>
        </w:trPr>
        <w:tc>
          <w:tcPr>
            <w:tcW w:type="dxa" w:w="442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Can competent personnel operate reliably without a detailed instruction?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 a concise control or record rather than unnecessary procedure detail.</w:t>
            </w:r>
          </w:p>
        </w:tc>
      </w:tr>
    </w:tbl>
    <w:p>
      <w:pPr>
        <w:pStyle w:val="Heading1"/>
      </w:pPr>
      <w:r>
        <w:t>4. Practical Document Lifecycle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53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Stage</w:t>
            </w:r>
          </w:p>
        </w:tc>
        <w:tc>
          <w:tcPr>
            <w:tcW w:type="dxa" w:w="5046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Good Practice</w:t>
            </w:r>
          </w:p>
        </w:tc>
        <w:tc>
          <w:tcPr>
            <w:tcW w:type="dxa" w:w="2778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Useful Evidence</w:t>
            </w:r>
          </w:p>
        </w:tc>
      </w:tr>
      <w:tr>
        <w:trPr>
          <w:cantSplit/>
        </w:trPr>
        <w:tc>
          <w:tcPr>
            <w:tcW w:type="dxa" w:w="15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Create</w:t>
            </w:r>
          </w:p>
        </w:tc>
        <w:tc>
          <w:tcPr>
            <w:tcW w:type="dxa" w:w="504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 clear purpose, owner, title/code and content appropriate to the user.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Draft / author record</w:t>
            </w:r>
          </w:p>
        </w:tc>
      </w:tr>
      <w:tr>
        <w:trPr>
          <w:cantSplit/>
        </w:trPr>
        <w:tc>
          <w:tcPr>
            <w:tcW w:type="dxa" w:w="15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Review</w:t>
            </w:r>
          </w:p>
        </w:tc>
        <w:tc>
          <w:tcPr>
            <w:tcW w:type="dxa" w:w="504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Check accuracy, operational use, interfaces and source references.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Review comment / workflow</w:t>
            </w:r>
          </w:p>
        </w:tc>
      </w:tr>
      <w:tr>
        <w:trPr>
          <w:cantSplit/>
        </w:trPr>
        <w:tc>
          <w:tcPr>
            <w:tcW w:type="dxa" w:w="15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Approve</w:t>
            </w:r>
          </w:p>
        </w:tc>
        <w:tc>
          <w:tcPr>
            <w:tcW w:type="dxa" w:w="504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Authorize before controlled issue where approval is required.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Approval record</w:t>
            </w:r>
          </w:p>
        </w:tc>
      </w:tr>
      <w:tr>
        <w:trPr>
          <w:cantSplit/>
        </w:trPr>
        <w:tc>
          <w:tcPr>
            <w:tcW w:type="dxa" w:w="15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Issue / communicate</w:t>
            </w:r>
          </w:p>
        </w:tc>
        <w:tc>
          <w:tcPr>
            <w:tcW w:type="dxa" w:w="504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Publish to the controlled location and communicate material changes.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Repository / change notice</w:t>
            </w:r>
          </w:p>
        </w:tc>
      </w:tr>
      <w:tr>
        <w:trPr>
          <w:cantSplit/>
        </w:trPr>
        <w:tc>
          <w:tcPr>
            <w:tcW w:type="dxa" w:w="15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</w:t>
            </w:r>
          </w:p>
        </w:tc>
        <w:tc>
          <w:tcPr>
            <w:tcW w:type="dxa" w:w="504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Ensure users can find the current version at the point of need.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Current controlled copy / access</w:t>
            </w:r>
          </w:p>
        </w:tc>
      </w:tr>
      <w:tr>
        <w:trPr>
          <w:cantSplit/>
        </w:trPr>
        <w:tc>
          <w:tcPr>
            <w:tcW w:type="dxa" w:w="15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Change</w:t>
            </w:r>
          </w:p>
        </w:tc>
        <w:tc>
          <w:tcPr>
            <w:tcW w:type="dxa" w:w="504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Update version/status and consider related training/control changes.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Revision evidence</w:t>
            </w:r>
          </w:p>
        </w:tc>
      </w:tr>
      <w:tr>
        <w:trPr>
          <w:cantSplit/>
        </w:trPr>
        <w:tc>
          <w:tcPr>
            <w:tcW w:type="dxa" w:w="153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Archive / dispose</w:t>
            </w:r>
          </w:p>
        </w:tc>
        <w:tc>
          <w:tcPr>
            <w:tcW w:type="dxa" w:w="504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Prevent unintended use of obsolete information; retain/dispose records as authorized.</w:t>
            </w:r>
          </w:p>
        </w:tc>
        <w:tc>
          <w:tcPr>
            <w:tcW w:type="dxa" w:w="2778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Archive / disposal evidence</w:t>
            </w:r>
          </w:p>
        </w:tc>
      </w:tr>
    </w:tbl>
    <w:p>
      <w:pPr>
        <w:pStyle w:val="Heading1"/>
      </w:pPr>
      <w:r>
        <w:t>5. Naming and Coding — Illustrative Examples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9355"/>
      </w:tblGrid>
      <w:tr>
        <w:tc>
          <w:tcPr>
            <w:tcW w:type="dxa" w:w="9354"/>
            <w:shd w:val="clear" w:color="auto" w:fill="EAF3F8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pPr>
              <w:spacing w:after="0"/>
            </w:pPr>
            <w:r>
              <w:rPr>
                <w:rFonts w:ascii="Cambria" w:hAnsi="Cambria" w:eastAsia="Cambria" w:cs="Cambria"/>
                <w:b/>
                <w:sz w:val="18"/>
              </w:rPr>
              <w:t>Illustrative Data: the examples below show document identification only. Replace with the organization’s approved coding convention.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238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Example Type</w:t>
            </w:r>
          </w:p>
        </w:tc>
        <w:tc>
          <w:tcPr>
            <w:tcW w:type="dxa" w:w="204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Illustrative ID</w:t>
            </w:r>
          </w:p>
        </w:tc>
        <w:tc>
          <w:tcPr>
            <w:tcW w:type="dxa" w:w="4932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Illustrative Title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Policy</w:t>
            </w:r>
          </w:p>
        </w:tc>
        <w:tc>
          <w:tcPr>
            <w:tcW w:type="dxa" w:w="204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EMS-POL-001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Environmental Policy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Procedure</w:t>
            </w:r>
          </w:p>
        </w:tc>
        <w:tc>
          <w:tcPr>
            <w:tcW w:type="dxa" w:w="204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EMS-PRO-003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Operational Planning &amp; Control Procedure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Register</w:t>
            </w:r>
          </w:p>
        </w:tc>
        <w:tc>
          <w:tcPr>
            <w:tcW w:type="dxa" w:w="204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EMS-REG-003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Environmental Aspects &amp; Impacts Register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Form</w:t>
            </w:r>
          </w:p>
        </w:tc>
        <w:tc>
          <w:tcPr>
            <w:tcW w:type="dxa" w:w="204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EMS-FRM-001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Environmental Incident / Spill Report</w:t>
            </w:r>
          </w:p>
        </w:tc>
      </w:tr>
      <w:tr>
        <w:trPr>
          <w:cantSplit/>
        </w:trPr>
        <w:tc>
          <w:tcPr>
            <w:tcW w:type="dxa" w:w="238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Audit document</w:t>
            </w:r>
          </w:p>
        </w:tc>
        <w:tc>
          <w:tcPr>
            <w:tcW w:type="dxa" w:w="204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EMS-AUD-002</w:t>
            </w:r>
          </w:p>
        </w:tc>
        <w:tc>
          <w:tcPr>
            <w:tcW w:type="dxa" w:w="4932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Internal Environmental Audit Report</w:t>
            </w:r>
          </w:p>
        </w:tc>
      </w:tr>
    </w:tbl>
    <w:p>
      <w:pPr>
        <w:pStyle w:val="Heading1"/>
      </w:pPr>
      <w:r>
        <w:t>6. Version, Status and Change Control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665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Control</w:t>
            </w:r>
          </w:p>
        </w:tc>
        <w:tc>
          <w:tcPr>
            <w:tcW w:type="dxa" w:w="6690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Practical Guidance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Version</w:t>
            </w:r>
          </w:p>
        </w:tc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 simple, consistent versioning. A new controlled issue should be distinguishable from the superseded version.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Status</w:t>
            </w:r>
          </w:p>
        </w:tc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 clear states such as Draft, Under Review, Approved/Effective and Obsolete where useful.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Change description</w:t>
            </w:r>
          </w:p>
        </w:tc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Record enough information to understand material changes; do not maintain artificial revision history.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Effective date</w:t>
            </w:r>
          </w:p>
        </w:tc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 where release timing matters, especially when procedures, training or operational controls change.</w:t>
            </w:r>
          </w:p>
        </w:tc>
      </w:tr>
      <w:tr>
        <w:trPr>
          <w:cantSplit/>
        </w:trPr>
        <w:tc>
          <w:tcPr>
            <w:tcW w:type="dxa" w:w="266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Change impact</w:t>
            </w:r>
          </w:p>
        </w:tc>
        <w:tc>
          <w:tcPr>
            <w:tcW w:type="dxa" w:w="6690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Consider related forms, training, monitoring, suppliers, significant aspects and compliance evidence before release.</w:t>
            </w:r>
          </w:p>
        </w:tc>
      </w:tr>
    </w:tbl>
    <w:p>
      <w:pPr>
        <w:pStyle w:val="Heading1"/>
      </w:pPr>
      <w:r>
        <w:t>7. External Documented Information</w:t>
      </w:r>
    </w:p>
    <w:p>
      <w:r>
        <w:rPr>
          <w:rFonts w:ascii="Cambria" w:hAnsi="Cambria" w:eastAsia="Cambria" w:cs="Cambria"/>
          <w:sz w:val="20"/>
        </w:rPr>
        <w:t>External information can include verified legal/other obligation sources, permits/authorizations, supplier technical information, emergency contacts, equipment manuals, standards or customer requirements. Control only what is necessary for EMS operation.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255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Control Point</w:t>
            </w:r>
          </w:p>
        </w:tc>
        <w:tc>
          <w:tcPr>
            <w:tcW w:type="dxa" w:w="6803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Practical Question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Source</w:t>
            </w:r>
          </w:p>
        </w:tc>
        <w:tc>
          <w:tcPr>
            <w:tcW w:type="dxa" w:w="680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Is the source authoritative or otherwise approved for the intended use?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Applicability</w:t>
            </w:r>
          </w:p>
        </w:tc>
        <w:tc>
          <w:tcPr>
            <w:tcW w:type="dxa" w:w="680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Who confirms that it applies to the organization/site/activity?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Currentness</w:t>
            </w:r>
          </w:p>
        </w:tc>
        <w:tc>
          <w:tcPr>
            <w:tcW w:type="dxa" w:w="680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How will changes be detected and when will applicability be rechecked?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Access</w:t>
            </w:r>
          </w:p>
        </w:tc>
        <w:tc>
          <w:tcPr>
            <w:tcW w:type="dxa" w:w="680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Can relevant users retrieve the current information when needed?</w:t>
            </w:r>
          </w:p>
        </w:tc>
      </w:tr>
      <w:tr>
        <w:trPr>
          <w:cantSplit/>
        </w:trPr>
        <w:tc>
          <w:tcPr>
            <w:tcW w:type="dxa" w:w="255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Evidence</w:t>
            </w:r>
          </w:p>
        </w:tc>
        <w:tc>
          <w:tcPr>
            <w:tcW w:type="dxa" w:w="680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Is the source/date/reference recorded sufficiently to support later verification?</w:t>
            </w:r>
          </w:p>
        </w:tc>
      </w:tr>
    </w:tbl>
    <w:p>
      <w:pPr>
        <w:pStyle w:val="Heading1"/>
      </w:pPr>
      <w:r>
        <w:t>8. Records and Evidence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Create records at the time of the activity whenever practicable; late or reconstructed records should be transparent.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Use enough detail to support traceability without collecting unnecessary personal, confidential or sensitive information.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Protect monitoring, incident, compliance and audit evidence from unauthorized alteration or loss.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For electronic records, ensure access rights, backups and change history are proportionate to importance.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Do not set arbitrary retention periods. Use the organization’s approved retention requirements and applicable obligations.</w:t>
      </w:r>
    </w:p>
    <w:p>
      <w:pPr>
        <w:pStyle w:val="Heading1"/>
      </w:pPr>
      <w:r>
        <w:t>9. Shared Drives, Cloud Systems and Printed Copies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515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Risk</w:t>
            </w:r>
          </w:p>
        </w:tc>
        <w:tc>
          <w:tcPr>
            <w:tcW w:type="dxa" w:w="5839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Better Practice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Multiple “final” files</w:t>
            </w:r>
          </w:p>
        </w:tc>
        <w:tc>
          <w:tcPr>
            <w:tcW w:type="dxa" w:w="583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Publish one controlled source and restrict uncontrolled duplicates where practical.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Users editing approved documents directly</w:t>
            </w:r>
          </w:p>
        </w:tc>
        <w:tc>
          <w:tcPr>
            <w:tcW w:type="dxa" w:w="583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Separate approved/read-only use from controlled editing/approval workflow.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Printed copies becoming outdated</w:t>
            </w:r>
          </w:p>
        </w:tc>
        <w:tc>
          <w:tcPr>
            <w:tcW w:type="dxa" w:w="583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Mark as uncontrolled unless a managed-copy process is genuinely needed.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Links break or owners leave</w:t>
            </w:r>
          </w:p>
        </w:tc>
        <w:tc>
          <w:tcPr>
            <w:tcW w:type="dxa" w:w="583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Assign repository ownership and periodically test critical access.</w:t>
            </w:r>
          </w:p>
        </w:tc>
      </w:tr>
      <w:tr>
        <w:trPr>
          <w:cantSplit/>
        </w:trPr>
        <w:tc>
          <w:tcPr>
            <w:tcW w:type="dxa" w:w="3515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External files downloaded once and never reviewed</w:t>
            </w:r>
          </w:p>
        </w:tc>
        <w:tc>
          <w:tcPr>
            <w:tcW w:type="dxa" w:w="583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Record source/currentness responsibility and planned review/update trigger.</w:t>
            </w:r>
          </w:p>
        </w:tc>
      </w:tr>
    </w:tbl>
    <w:p>
      <w:pPr>
        <w:pStyle w:val="Heading1"/>
      </w:pPr>
      <w:r>
        <w:t>10. Common Pitfalls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3969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Pitfall</w:t>
            </w:r>
          </w:p>
        </w:tc>
        <w:tc>
          <w:tcPr>
            <w:tcW w:type="dxa" w:w="5386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Better Practice</w:t>
            </w:r>
          </w:p>
        </w:tc>
      </w:tr>
      <w:tr>
        <w:trPr>
          <w:cantSplit/>
        </w:trPr>
        <w:tc>
          <w:tcPr>
            <w:tcW w:type="dxa" w:w="396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Documenting every activity in excessive detail.</w:t>
            </w:r>
          </w:p>
        </w:tc>
        <w:tc>
          <w:tcPr>
            <w:tcW w:type="dxa" w:w="538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Document what is needed for consistent control and evidence.</w:t>
            </w:r>
          </w:p>
        </w:tc>
      </w:tr>
      <w:tr>
        <w:trPr>
          <w:cantSplit/>
        </w:trPr>
        <w:tc>
          <w:tcPr>
            <w:tcW w:type="dxa" w:w="396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Keeping obsolete templates “just in case” at points of use.</w:t>
            </w:r>
          </w:p>
        </w:tc>
        <w:tc>
          <w:tcPr>
            <w:tcW w:type="dxa" w:w="538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Archive centrally and prevent unintended operational use.</w:t>
            </w:r>
          </w:p>
        </w:tc>
      </w:tr>
      <w:tr>
        <w:trPr>
          <w:cantSplit/>
        </w:trPr>
        <w:tc>
          <w:tcPr>
            <w:tcW w:type="dxa" w:w="396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Treating folders as document control.</w:t>
            </w:r>
          </w:p>
        </w:tc>
        <w:tc>
          <w:tcPr>
            <w:tcW w:type="dxa" w:w="538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Use ownership, status/version, approval and access controls appropriate to risk.</w:t>
            </w:r>
          </w:p>
        </w:tc>
      </w:tr>
      <w:tr>
        <w:trPr>
          <w:cantSplit/>
        </w:trPr>
        <w:tc>
          <w:tcPr>
            <w:tcW w:type="dxa" w:w="396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Copying external legal information without checking applicability/currentness.</w:t>
            </w:r>
          </w:p>
        </w:tc>
        <w:tc>
          <w:tcPr>
            <w:tcW w:type="dxa" w:w="538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Reference verified sources and assign a compliance owner.</w:t>
            </w:r>
          </w:p>
        </w:tc>
      </w:tr>
      <w:tr>
        <w:trPr>
          <w:cantSplit/>
        </w:trPr>
        <w:tc>
          <w:tcPr>
            <w:tcW w:type="dxa" w:w="3969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Using retention periods copied from generic templates.</w:t>
            </w:r>
          </w:p>
        </w:tc>
        <w:tc>
          <w:tcPr>
            <w:tcW w:type="dxa" w:w="5386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Apply approved organizational and applicable-obligation requirements.</w:t>
            </w:r>
          </w:p>
        </w:tc>
      </w:tr>
    </w:tbl>
    <w:p>
      <w:pPr>
        <w:pStyle w:val="Heading1"/>
      </w:pPr>
      <w:r>
        <w:t>11. Quick Checklist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cantSplit/>
          <w:tblHeader w:val="true"/>
        </w:trPr>
        <w:tc>
          <w:tcPr>
            <w:tcW w:type="dxa" w:w="7143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Check</w:t>
            </w:r>
          </w:p>
        </w:tc>
        <w:tc>
          <w:tcPr>
            <w:tcW w:type="dxa" w:w="221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Yes / No / Action</w:t>
            </w:r>
          </w:p>
        </w:tc>
      </w:tr>
      <w:tr>
        <w:trPr>
          <w:cantSplit/>
        </w:trPr>
        <w:tc>
          <w:tcPr>
            <w:tcW w:type="dxa" w:w="714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Current approved information is identifiable and accessible at point of use.</w:t>
            </w:r>
          </w:p>
        </w:tc>
        <w:tc>
          <w:tcPr>
            <w:tcW w:type="dxa" w:w="221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714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External information has an owner/source/currentness method.</w:t>
            </w:r>
          </w:p>
        </w:tc>
        <w:tc>
          <w:tcPr>
            <w:tcW w:type="dxa" w:w="221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714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Records are legible, traceable, protected and retrievable.</w:t>
            </w:r>
          </w:p>
        </w:tc>
        <w:tc>
          <w:tcPr>
            <w:tcW w:type="dxa" w:w="221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714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Obsolete information is prevented from unintended use.</w:t>
            </w:r>
          </w:p>
        </w:tc>
        <w:tc>
          <w:tcPr>
            <w:tcW w:type="dxa" w:w="221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714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Retention/disposal follows approved requirements rather than generic durations.</w:t>
            </w:r>
          </w:p>
        </w:tc>
        <w:tc>
          <w:tcPr>
            <w:tcW w:type="dxa" w:w="221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 ]</w:t>
            </w:r>
          </w:p>
        </w:tc>
      </w:tr>
    </w:tbl>
    <w:p>
      <w:pPr>
        <w:pStyle w:val="Heading1"/>
      </w:pPr>
      <w:r>
        <w:t>Related Documents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Documented Information Procedure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Environmental Management Manual</w:t>
      </w:r>
    </w:p>
    <w:p>
      <w:pPr>
        <w:spacing w:after="40"/>
        <w:ind w:left="227" w:hanging="170"/>
      </w:pPr>
      <w:r>
        <w:rPr>
          <w:rFonts w:ascii="Cambria" w:hAnsi="Cambria" w:eastAsia="Cambria" w:cs="Cambria"/>
          <w:b/>
          <w:color w:val="1F4E79"/>
          <w:sz w:val="20"/>
        </w:rPr>
        <w:t xml:space="preserve">• </w:t>
      </w:r>
      <w:r>
        <w:rPr>
          <w:rFonts w:ascii="Cambria" w:hAnsi="Cambria" w:eastAsia="Cambria" w:cs="Cambria"/>
          <w:sz w:val="20"/>
        </w:rPr>
        <w:t>EMS Document Map</w:t>
      </w:r>
    </w:p>
    <w:p>
      <w:pPr>
        <w:pStyle w:val="Heading1"/>
      </w:pPr>
      <w:r>
        <w:t>Approval and Revision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cantSplit/>
          <w:tblHeader w:val="true"/>
        </w:trPr>
        <w:tc>
          <w:tcPr>
            <w:tcW w:type="dxa" w:w="204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Role</w:t>
            </w:r>
          </w:p>
        </w:tc>
        <w:tc>
          <w:tcPr>
            <w:tcW w:type="dxa" w:w="272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Name / Position</w:t>
            </w:r>
          </w:p>
        </w:tc>
        <w:tc>
          <w:tcPr>
            <w:tcW w:type="dxa" w:w="272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Approval / Signature</w:t>
            </w:r>
          </w:p>
        </w:tc>
        <w:tc>
          <w:tcPr>
            <w:tcW w:type="dxa" w:w="1871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Prepared / Maintained by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Environmental Manager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  <w:tc>
          <w:tcPr>
            <w:tcW w:type="dxa" w:w="187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Reviewed by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[REVIEWER / FUNCTION]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  <w:tc>
          <w:tcPr>
            <w:tcW w:type="dxa" w:w="187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</w:tr>
      <w:tr>
        <w:trPr>
          <w:cantSplit/>
        </w:trPr>
        <w:tc>
          <w:tcPr>
            <w:tcW w:type="dxa" w:w="204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Approved by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Top Management</w:t>
            </w:r>
          </w:p>
        </w:tc>
        <w:tc>
          <w:tcPr>
            <w:tcW w:type="dxa" w:w="272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  <w:tc>
          <w:tcPr>
            <w:tcW w:type="dxa" w:w="1871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</w:r>
          </w:p>
        </w:tc>
      </w:tr>
    </w:tbl>
    <w:p>
      <w:r>
        <w:rPr>
          <w:rFonts w:ascii="Cambria" w:hAnsi="Cambria" w:eastAsia="Cambria" w:cs="Cambria"/>
          <w:b/>
          <w:color w:val="1F4E79"/>
          <w:sz w:val="20"/>
        </w:rPr>
        <w:t>Revision History</w:t>
      </w:r>
    </w:p>
    <w:tbl>
      <w:tblPr>
        <w:tblStyle w:val="TableGrid"/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cantSplit/>
          <w:tblHeader w:val="true"/>
        </w:trPr>
        <w:tc>
          <w:tcPr>
            <w:tcW w:type="dxa" w:w="1417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984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5953"/>
            <w:shd w:val="clear" w:color="auto" w:fill="D9EAF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b/>
                <w:color w:val="000000"/>
                <w:sz w:val="17"/>
              </w:rPr>
              <w:t>Description</w:t>
            </w:r>
          </w:p>
        </w:tc>
      </w:tr>
      <w:tr>
        <w:trPr>
          <w:cantSplit/>
        </w:trPr>
        <w:tc>
          <w:tcPr>
            <w:tcW w:type="dxa" w:w="1417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1.0</w:t>
            </w:r>
          </w:p>
        </w:tc>
        <w:tc>
          <w:tcPr>
            <w:tcW w:type="dxa" w:w="1984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2026-09-18</w:t>
            </w:r>
          </w:p>
        </w:tc>
        <w:tc>
          <w:tcPr>
            <w:tcW w:type="dxa" w:w="5953"/>
            <w:tcMar>
              <w:top w:w="70" w:type="dxa"/>
              <w:left w:w="90" w:type="dxa"/>
              <w:bottom w:w="70" w:type="dxa"/>
              <w:right w:w="90" w:type="dxa"/>
            </w:tcMar>
            <w:vAlign w:val="top"/>
          </w:tcPr>
          <w:p>
            <w:pPr>
              <w:spacing w:after="0" w:before="0"/>
            </w:pPr>
            <w:r/>
            <w:r>
              <w:rPr>
                <w:rFonts w:ascii="Cambria" w:hAnsi="Cambria" w:eastAsia="Cambria" w:cs="Cambria"/>
                <w:color w:val="000000"/>
                <w:sz w:val="17"/>
              </w:rPr>
              <w:t>Initial issue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0"/>
      <w:jc w:val="center"/>
    </w:pPr>
    <w:r/>
    <w:r>
      <w:rPr>
        <w:rFonts w:ascii="Cambria" w:hAnsi="Cambria" w:eastAsia="Cambria" w:cs="Cambria"/>
        <w:color w:val="666666"/>
        <w:sz w:val="16"/>
      </w:rPr>
      <w:t>Copyright © ISO Toolkits | www.iso-toolkits.org | info@iso-toolkits.org</w:t>
    </w:r>
  </w:p>
  <w:p>
    <w:pPr>
      <w:spacing w:before="0" w:after="0"/>
      <w:jc w:val="center"/>
    </w:pPr>
    <w:r>
      <w:rPr>
        <w:rFonts w:ascii="Cambria" w:hAnsi="Cambria" w:eastAsia="Cambria" w:cs="Cambria"/>
        <w:color w:val="666666"/>
        <w:sz w:val="16"/>
      </w:rPr>
      <w:t xml:space="preserve">CONTROLLED DOCUMENT | INTERNAL | Page </w:t>
    </w:r>
    <w:r>
      <w:rPr>
        <w:rFonts w:ascii="Cambria" w:hAnsi="Cambria" w:eastAsia="Cambria" w:cs="Cambria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mbria" w:hAnsi="Cambria" w:eastAsia="Cambria" w:cs="Cambria"/>
        <w:color w:val="666666"/>
        <w:sz w:val="16"/>
      </w:rPr>
      <w:t xml:space="preserve"> of </w:t>
    </w:r>
    <w:r>
      <w:rPr>
        <w:rFonts w:ascii="Cambria" w:hAnsi="Cambria" w:eastAsia="Cambria" w:cs="Cambria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587"/>
          <w:tcBorders>
            <w:bottom w:val="single" w:sz="6" w:color="1F4E79"/>
          </w:tcBorders>
          <w:tcMar>
            <w:top w:w="40" w:type="dxa"/>
            <w:left w:w="60" w:type="dxa"/>
            <w:bottom w:w="40" w:type="dxa"/>
            <w:right w:w="60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Cambria" w:hAnsi="Cambria" w:eastAsia="Cambria" w:cs="Cambria"/>
              <w:b w:val="0"/>
              <w:color w:val="000000"/>
              <w:sz w:val="16"/>
            </w:rPr>
            <w:t>ORGANIZATION</w:t>
          </w:r>
          <w:r>
            <w:br/>
          </w:r>
          <w:r>
            <w:rPr>
              <w:rFonts w:ascii="Cambria" w:hAnsi="Cambria" w:eastAsia="Cambria" w:cs="Cambria"/>
              <w:b w:val="0"/>
              <w:color w:val="000000"/>
              <w:sz w:val="16"/>
            </w:rPr>
            <w:t>LOGO</w:t>
          </w:r>
        </w:p>
      </w:tc>
      <w:tc>
        <w:tcPr>
          <w:tcW w:type="dxa" w:w="5159"/>
          <w:tcBorders>
            <w:bottom w:val="single" w:sz="6" w:color="1F4E79"/>
          </w:tcBorders>
          <w:tcMar>
            <w:top w:w="40" w:type="dxa"/>
            <w:left w:w="60" w:type="dxa"/>
            <w:bottom w:w="40" w:type="dxa"/>
            <w:right w:w="60" w:type="dxa"/>
          </w:tcMar>
          <w:vAlign w:val="center"/>
        </w:tcPr>
        <w:p>
          <w:pPr>
            <w:spacing w:after="0"/>
            <w:jc w:val="center"/>
          </w:pPr>
          <w:r>
            <w:rPr>
              <w:rFonts w:ascii="Cambria" w:hAnsi="Cambria" w:eastAsia="Cambria" w:cs="Cambria"/>
              <w:b w:val="0"/>
              <w:color w:val="000000"/>
              <w:sz w:val="18"/>
            </w:rPr>
            <w:t>[ORGANIZATION NAME]</w:t>
          </w:r>
          <w:r>
            <w:br/>
          </w:r>
          <w:r>
            <w:rPr>
              <w:rFonts w:ascii="Cambria" w:hAnsi="Cambria" w:eastAsia="Cambria" w:cs="Cambria"/>
              <w:b/>
              <w:color w:val="1F4E79"/>
              <w:sz w:val="18"/>
            </w:rPr>
            <w:t>Documented Information Guidance</w:t>
          </w:r>
        </w:p>
      </w:tc>
      <w:tc>
        <w:tcPr>
          <w:tcW w:type="dxa" w:w="2608"/>
          <w:tcBorders>
            <w:bottom w:val="single" w:sz="6" w:color="1F4E79"/>
          </w:tcBorders>
          <w:tcMar>
            <w:top w:w="40" w:type="dxa"/>
            <w:left w:w="60" w:type="dxa"/>
            <w:bottom w:w="40" w:type="dxa"/>
            <w:right w:w="60" w:type="dxa"/>
          </w:tcMar>
          <w:vAlign w:val="center"/>
        </w:tcPr>
        <w:p>
          <w:pPr>
            <w:spacing w:after="0"/>
            <w:jc w:val="right"/>
          </w:pPr>
          <w:r>
            <w:rPr>
              <w:rFonts w:ascii="Cambria" w:hAnsi="Cambria" w:eastAsia="Cambria" w:cs="Cambria"/>
              <w:b/>
              <w:color w:val="000000"/>
              <w:sz w:val="16"/>
            </w:rPr>
            <w:t>EMS-GOV-007</w:t>
          </w:r>
          <w:r>
            <w:br/>
          </w:r>
          <w:r>
            <w:rPr>
              <w:rFonts w:ascii="Cambria" w:hAnsi="Cambria" w:eastAsia="Cambria" w:cs="Cambria"/>
              <w:b w:val="0"/>
              <w:color w:val="000000"/>
              <w:sz w:val="16"/>
            </w:rPr>
            <w:t>Version 1.0</w:t>
          </w:r>
          <w:r>
            <w:br/>
          </w:r>
          <w:r>
            <w:rPr>
              <w:rFonts w:ascii="Cambria" w:hAnsi="Cambria" w:eastAsia="Cambria" w:cs="Cambria"/>
              <w:b w:val="0"/>
              <w:color w:val="000000"/>
              <w:sz w:val="16"/>
            </w:rPr>
            <w:t>Effective 2026-09-18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Cambria" w:hAnsi="Cambria" w:eastAsia="Cambria" w:cs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Cambria" w:hAnsi="Cambria"/>
      <w:i/>
      <w:color w:val="666666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Documented Information Guidance</dc:title>
  <dc:subject>Environmental Management System document</dc:subject>
  <dc:creator>ISO Toolkits</dc:creator>
  <cp:keywords>ISO 14001, EMS, documented information guidance, document control, records, ISO Toolkits</cp:keywords>
  <dc:description>www.iso-toolkits.org | info@iso-toolkits.org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