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DOCUMENTED INFORMATION PROCEDURE</w:t>
      </w:r>
    </w:p>
    <w:p>
      <w:pPr>
        <w:spacing w:after="120"/>
      </w:pPr>
      <w:r>
        <w:rPr>
          <w:rFonts w:ascii="Cambria" w:hAnsi="Cambria" w:eastAsia="Cambria"/>
          <w:b/>
          <w:sz w:val="23"/>
        </w:rPr>
        <w:t>ISO 37301:2021 + Amd 1:2024</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Compliance Manager / Document Control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Top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Define the method to create, review, approve, issue, access, change, protect, retain and dispose of Compliance Management System documented information so users can rely on current information and objective evidence remains traceable.</w:t>
      </w:r>
    </w:p>
    <w:p>
      <w:pPr>
        <w:pStyle w:val="Heading1"/>
        <w:keepNext/>
        <w:spacing w:before="120" w:after="60" w:line="252" w:lineRule="auto"/>
      </w:pPr>
      <w:r>
        <w:rPr>
          <w:rFonts w:ascii="Cambria" w:hAnsi="Cambria" w:eastAsia="Cambria"/>
          <w:b/>
          <w:color w:val="1F4E79"/>
          <w:sz w:val="24"/>
        </w:rPr>
        <w:t>2. Scope</w:t>
      </w:r>
    </w:p>
    <w:p>
      <w:pPr>
        <w:spacing w:before="0" w:after="80" w:line="252" w:lineRule="auto"/>
      </w:pPr>
      <w:r>
        <w:rPr>
          <w:rFonts w:ascii="Cambria" w:hAnsi="Cambria" w:eastAsia="Cambria"/>
          <w:i w:val="0"/>
          <w:sz w:val="20"/>
        </w:rPr>
        <w:t>Applies to CMS policies, manuals, procedures, plans, forms, registers, logs, risk assessments, compliance-obligation records, due diligence records, audit and monitoring records, management-review records and relevant external documents in any approved medium.</w:t>
      </w: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Confidential investigations, personal data, legally privileged material and whistleblowing records may require stricter access, retention and disclosure controls than ordinary CMS records. Apply applicable legal and internal requirements.</w:t>
            </w:r>
          </w:p>
        </w:tc>
      </w:tr>
    </w:tbl>
    <w:p>
      <w:pPr>
        <w:spacing w:after="20"/>
      </w:pPr>
    </w:p>
    <w:p>
      <w:pPr>
        <w:pStyle w:val="Heading1"/>
        <w:keepNext/>
        <w:spacing w:before="120" w:after="60" w:line="252" w:lineRule="auto"/>
      </w:pPr>
      <w:r>
        <w:rPr>
          <w:rFonts w:ascii="Cambria" w:hAnsi="Cambria" w:eastAsia="Cambria"/>
          <w:b/>
          <w:color w:val="1F4E79"/>
          <w:sz w:val="24"/>
        </w:rPr>
        <w:t>3. Responsibilities</w:t>
      </w:r>
    </w:p>
    <w:tbl>
      <w:tblPr>
        <w:tblW w:type="auto" w:w="0"/>
        <w:jc w:val="center"/>
        <w:tblLayout w:type="fixed"/>
        <w:tblLook w:val="04A0"/>
      </w:tblPr>
      <w:tblGrid>
        <w:gridCol w:w="4677"/>
        <w:gridCol w:w="4677"/>
      </w:tblGrid>
      <w:tr>
        <w:trPr>
          <w:tblHeader w:val="true"/>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Role</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Responsibility</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Top Management / Approver</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Approve CMS documents requiring management authorization and support effective information controls.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Compliance Manager</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Define CMS documentation requirements, maintain key controlled information and verify suitability.</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Document Control / System Administrator</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Maintain approved repositories, metadata, access, version control and archival arrangements.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Document Owner</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Draft, review, update and periodically confirm assigned documents remain accurate and useful.</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Record Owner / Process Owner</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Create complete records, protect them and retain them according to applicable requirements.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All Users</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Use current approved versions, protect sensitive information and report obsolete/incorrect documents.</w:t>
            </w:r>
          </w:p>
        </w:tc>
      </w:tr>
    </w:tbl>
    <w:p>
      <w:pPr>
        <w:pStyle w:val="Heading1"/>
        <w:keepNext/>
        <w:spacing w:before="120" w:after="60" w:line="252" w:lineRule="auto"/>
      </w:pPr>
      <w:r>
        <w:rPr>
          <w:rFonts w:ascii="Cambria" w:hAnsi="Cambria" w:eastAsia="Cambria"/>
          <w:b/>
          <w:color w:val="1F4E79"/>
          <w:sz w:val="24"/>
        </w:rPr>
        <w:t>4. Procedure</w:t>
      </w:r>
    </w:p>
    <w:tbl>
      <w:tblPr>
        <w:tblW w:type="auto" w:w="0"/>
        <w:jc w:val="center"/>
        <w:tblLayout w:type="fixed"/>
        <w:tblLook w:val="04A0"/>
      </w:tblPr>
      <w:tblGrid>
        <w:gridCol w:w="1871"/>
        <w:gridCol w:w="1871"/>
        <w:gridCol w:w="1871"/>
        <w:gridCol w:w="1871"/>
        <w:gridCol w:w="1871"/>
      </w:tblGrid>
      <w:tr>
        <w:trPr>
          <w:tblHeader w:val="true"/>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Step</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Activity</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Responsible</w:t>
            </w:r>
          </w:p>
        </w:tc>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Control requirement</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Output / Record</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Identify need</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Document Owner</w:t>
            </w:r>
          </w:p>
        </w:tc>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Define purpose, users, required evidence, confidentiality and applicable CMS/obligation context.</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Document request / draft brief</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2</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Draft / revise</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Document Owner</w:t>
            </w:r>
          </w:p>
        </w:tc>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Use the approved template; apply plain language, correct references, ownership, version and effective date.</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Draft document</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3</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Technical review</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Compliance / Subject Matter Reviewer</w:t>
            </w:r>
          </w:p>
        </w:tc>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Verify accuracy, consistency with verified obligations, controls and related documents.</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Review comments</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4</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Approval</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Authorized Approver</w:t>
            </w:r>
          </w:p>
        </w:tc>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 at the level required by document type, risk and governance rules.</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Approval record</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5</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Issue / publish</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Document Control</w:t>
            </w:r>
          </w:p>
        </w:tc>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Assign controlled version, effective date, access and repository location; remove superseded copy from normal use.</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Released version</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6</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Communicate / train</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Document Owner</w:t>
            </w:r>
          </w:p>
        </w:tc>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Notify affected users and provide training or acknowledgement where needed.</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Communication / training record</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7</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Use and record</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Process / Record Owner</w:t>
            </w:r>
          </w:p>
        </w:tc>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Create reliable records at the time of activity; ensure entries are attributable and retrievable.</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Operational records</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8</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Control external information</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Compliance / Process Owner</w:t>
            </w:r>
          </w:p>
        </w:tc>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Identify authoritative or approved external sources and maintain source/update ownership.</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External-source register</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9</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Change control</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Document Owner</w:t>
            </w:r>
          </w:p>
        </w:tc>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Assess change impact, update linked forms/controls/training, obtain approval and record revision rationale.</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Revised version / revision history</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10</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Periodic review</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Document Owner</w:t>
            </w:r>
          </w:p>
        </w:tc>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Review at the defined cycle or earlier after regulatory, organizational, risk, incident or control change.</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Review evidence</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11</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Retention / archive</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Record Owner</w:t>
            </w:r>
          </w:p>
        </w:tc>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Retain records for the approved period based on legal, contractual, business and evidence needs.</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Archived record / retention index</w:t>
            </w:r>
          </w:p>
        </w:tc>
      </w:tr>
      <w:tr>
        <w:trPr>
          <w:cantSplit/>
        </w:trPr>
        <w:tc>
          <w:tcPr>
            <w:tcW w:type="dxa" w:w="6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12</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Secure disposal</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Record Owner / IT</w:t>
            </w:r>
          </w:p>
        </w:tc>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Dispose after retention and holds expire using methods appropriate to confidentiality and medium.</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Disposal evidence if required</w:t>
            </w:r>
          </w:p>
        </w:tc>
      </w:tr>
    </w:tbl>
    <w:p>
      <w:pPr>
        <w:pStyle w:val="Heading1"/>
        <w:keepNext/>
        <w:spacing w:before="120" w:after="60" w:line="252" w:lineRule="auto"/>
      </w:pPr>
      <w:r>
        <w:rPr>
          <w:rFonts w:ascii="Cambria" w:hAnsi="Cambria" w:eastAsia="Cambria"/>
          <w:b/>
          <w:color w:val="1F4E79"/>
          <w:sz w:val="24"/>
        </w:rPr>
        <w:t>5. Document Identification and Status</w:t>
      </w:r>
    </w:p>
    <w:p>
      <w:pPr>
        <w:spacing w:before="0" w:after="80" w:line="252" w:lineRule="auto"/>
      </w:pPr>
      <w:r>
        <w:rPr>
          <w:rFonts w:ascii="Cambria" w:hAnsi="Cambria" w:eastAsia="Cambria"/>
          <w:i w:val="0"/>
          <w:sz w:val="20"/>
        </w:rPr>
        <w:t>Controlled CMS documents should use metadata sufficient to identify title, code, version, owner, approver, effective date, classification and review status. Draft or obsolete status must be obvious enough to prevent unintended operational use.</w:t>
      </w:r>
    </w:p>
    <w:p>
      <w:pPr>
        <w:pStyle w:val="Heading1"/>
        <w:keepNext/>
        <w:spacing w:before="120" w:after="60" w:line="252" w:lineRule="auto"/>
      </w:pPr>
      <w:r>
        <w:rPr>
          <w:rFonts w:ascii="Cambria" w:hAnsi="Cambria" w:eastAsia="Cambria"/>
          <w:b/>
          <w:color w:val="1F4E79"/>
          <w:sz w:val="24"/>
        </w:rPr>
        <w:t>6. Access, Protection and Backup</w:t>
      </w:r>
    </w:p>
    <w:p>
      <w:pPr>
        <w:spacing w:before="0" w:after="80" w:line="252" w:lineRule="auto"/>
      </w:pPr>
      <w:r>
        <w:rPr>
          <w:rFonts w:ascii="Cambria" w:hAnsi="Cambria" w:eastAsia="Cambria"/>
          <w:i w:val="0"/>
          <w:sz w:val="20"/>
        </w:rPr>
        <w:t>Apply least-privilege access where information sensitivity requires it. Protect against unauthorized change, loss, disclosure or destruction. Repositories should have appropriate backup/recovery controls and audit trail capability for significant CMS records.</w:t>
      </w:r>
    </w:p>
    <w:p>
      <w:pPr>
        <w:pStyle w:val="Heading1"/>
        <w:keepNext/>
        <w:spacing w:before="120" w:after="60" w:line="252" w:lineRule="auto"/>
      </w:pPr>
      <w:r>
        <w:rPr>
          <w:rFonts w:ascii="Cambria" w:hAnsi="Cambria" w:eastAsia="Cambria"/>
          <w:b/>
          <w:color w:val="1F4E79"/>
          <w:sz w:val="24"/>
        </w:rPr>
        <w:t>7. External Documents and Authoritative Sources</w:t>
      </w:r>
    </w:p>
    <w:p>
      <w:pPr>
        <w:spacing w:before="0" w:after="80" w:line="252" w:lineRule="auto"/>
      </w:pPr>
      <w:r>
        <w:rPr>
          <w:rFonts w:ascii="Cambria" w:hAnsi="Cambria" w:eastAsia="Cambria"/>
          <w:i w:val="0"/>
          <w:sz w:val="20"/>
        </w:rPr>
        <w:t>For compliance obligations and similar external information, record the source, accountable owner, update method/frequency and the date the source was last reviewed. Avoid uncontrolled copies when an authoritative online source can be referenced reliably.</w:t>
      </w: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A generic internet link is not automatically an authoritative legal source. The organization should define acceptable source types and escalation where applicability is uncertain.</w:t>
            </w:r>
          </w:p>
        </w:tc>
      </w:tr>
    </w:tbl>
    <w:p>
      <w:pPr>
        <w:spacing w:after="20"/>
      </w:pPr>
    </w:p>
    <w:p>
      <w:pPr>
        <w:pStyle w:val="Heading1"/>
        <w:keepNext/>
        <w:spacing w:before="120" w:after="60" w:line="252" w:lineRule="auto"/>
      </w:pPr>
      <w:r>
        <w:rPr>
          <w:rFonts w:ascii="Cambria" w:hAnsi="Cambria" w:eastAsia="Cambria"/>
          <w:b/>
          <w:color w:val="1F4E79"/>
          <w:sz w:val="24"/>
        </w:rPr>
        <w:t>8. Records Generated by this Procedure</w:t>
      </w:r>
    </w:p>
    <w:tbl>
      <w:tblPr>
        <w:tblW w:type="auto" w:w="0"/>
        <w:jc w:val="center"/>
        <w:tblLayout w:type="fixed"/>
        <w:tblLook w:val="04A0"/>
      </w:tblPr>
      <w:tblGrid>
        <w:gridCol w:w="3118"/>
        <w:gridCol w:w="3118"/>
        <w:gridCol w:w="3118"/>
      </w:tblGrid>
      <w:tr>
        <w:trPr>
          <w:tblHeader w:val="true"/>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Record</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Owner</w:t>
            </w:r>
          </w:p>
        </w:tc>
        <w:tc>
          <w:tcPr>
            <w:tcW w:type="dxa" w:w="340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Retention / Disposal Rule</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Approval / revision history</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Document Owner / Document Control</w:t>
            </w:r>
          </w:p>
        </w:tc>
        <w:tc>
          <w:tcPr>
            <w:tcW w:type="dxa" w:w="340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Retain with controlled document history.</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Document register / repository metadata</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Document Control</w:t>
            </w:r>
          </w:p>
        </w:tc>
        <w:tc>
          <w:tcPr>
            <w:tcW w:type="dxa" w:w="340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Maintain while document is active plus approved archival period.</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Periodic review evidence</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Document Owner</w:t>
            </w:r>
          </w:p>
        </w:tc>
        <w:tc>
          <w:tcPr>
            <w:tcW w:type="dxa" w:w="340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Retain according to CMS record schedule.</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External-source review evidence</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Compliance / Obligation Owner</w:t>
            </w:r>
          </w:p>
        </w:tc>
        <w:tc>
          <w:tcPr>
            <w:tcW w:type="dxa" w:w="340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Retain sufficient history to demonstrate source monitoring.</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Disposal / archival evidence</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Record Owner</w:t>
            </w:r>
          </w:p>
        </w:tc>
        <w:tc>
          <w:tcPr>
            <w:tcW w:type="dxa" w:w="340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Retain where required by internal, legal or contractual rules.</w:t>
            </w:r>
          </w:p>
        </w:tc>
      </w:tr>
    </w:tbl>
    <w:p>
      <w:pPr>
        <w:pStyle w:val="Heading1"/>
        <w:keepNext/>
        <w:spacing w:before="120" w:after="60" w:line="252" w:lineRule="auto"/>
      </w:pPr>
      <w:r>
        <w:rPr>
          <w:rFonts w:ascii="Cambria" w:hAnsi="Cambria" w:eastAsia="Cambria"/>
          <w:b/>
          <w:color w:val="1F4E79"/>
          <w:sz w:val="24"/>
        </w:rPr>
        <w:t>References and Related Sources</w:t>
      </w:r>
    </w:p>
    <w:tbl>
      <w:tblPr>
        <w:tblW w:type="auto" w:w="0"/>
        <w:jc w:val="center"/>
        <w:tblLayout w:type="fixed"/>
        <w:tblLook w:val="04A0"/>
      </w:tblPr>
      <w:tblGrid>
        <w:gridCol w:w="3118"/>
        <w:gridCol w:w="3118"/>
        <w:gridCol w:w="3118"/>
      </w:tblGrid>
      <w:tr>
        <w:trPr>
          <w:tblHeader w:val="true"/>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Reference</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Use in this document</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Source / Location</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ISO 37301:2021</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Compliance management systems — requirements with guidance for use</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https://www.iso.org/standard/75080.html</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ISO 37301:2021/Amd 1:2024</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Climate action changes</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https://www.iso.org/standard/88422.html</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Organization CMS documented information</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Applicable policies, registers, procedures, audit records and management-review records</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[INTERNAL SOURCE / REPOSITORY]</w:t>
            </w:r>
          </w:p>
        </w:tc>
      </w:tr>
    </w:tbl>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Compliance Manager / Document Control</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Top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Documented Information Procedure</w:t>
          </w:r>
        </w:p>
      </w:tc>
      <w:tc>
        <w:tcPr>
          <w:tcW w:type="dxa" w:w="2324"/>
          <w:tcMar>
            <w:top w:w="20" w:type="dxa"/>
            <w:left w:w="40" w:type="dxa"/>
            <w:bottom w:w="20" w:type="dxa"/>
            <w:right w:w="40" w:type="dxa"/>
          </w:tcMar>
        </w:tcPr>
        <w:p>
          <w:pPr>
            <w:jc w:val="right"/>
          </w:pPr>
          <w:r>
            <w:rPr>
              <w:rFonts w:ascii="Cambria" w:hAnsi="Cambria" w:eastAsia="Cambria"/>
              <w:b/>
              <w:color w:val="666666"/>
              <w:sz w:val="16"/>
            </w:rPr>
            <w:t>CMS-PRO-002</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