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60" w:after="80"/>
        <w:pBdr>
          <w:bottom w:val="single" w:sz="8" w:color="1F4E79" w:space="4"/>
        </w:pBdr>
      </w:pPr>
      <w:r>
        <w:rPr>
          <w:rFonts w:ascii="Cambria" w:hAnsi="Cambria" w:eastAsia="Cambria"/>
          <w:b/>
          <w:color w:val="1F4E79"/>
          <w:sz w:val="40"/>
        </w:rPr>
        <w:t>DOCUMENTED INFORMATION GUIDANCE</w:t>
      </w:r>
    </w:p>
    <w:p>
      <w:pPr>
        <w:spacing w:after="120"/>
      </w:pPr>
      <w:r>
        <w:rPr>
          <w:rFonts w:ascii="Cambria" w:hAnsi="Cambria" w:eastAsia="Cambria"/>
          <w:b/>
          <w:sz w:val="23"/>
        </w:rPr>
        <w:t>ISO 37301:2021 + Amd 1:2024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Compliance Manager / Document Control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Top Management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Classification: INTERNAL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Next Review: 2027-09-18</w:t>
            </w:r>
          </w:p>
        </w:tc>
      </w:tr>
    </w:tbl>
    <w:p>
      <w:pPr>
        <w:spacing w:after="4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1. Purpose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Help CMS owners create a documentation system that is controlled, usable and proportionate to risk—without producing documents solely to appear compliant.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2. What Should Be Documented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Document information when it is needed to direct consistent work, demonstrate governance, preserve evidence, satisfy a verified obligation or support reliable decisions. The exact volume should reflect organizational complexity, compliance risk, competence, legal requirements and technology.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Information type</w:t>
            </w:r>
          </w:p>
        </w:tc>
        <w:tc>
          <w:tcPr>
            <w:tcW w:type="dxa" w:w="425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Typical CMS examples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Primary reason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Direction</w:t>
            </w:r>
          </w:p>
        </w:tc>
        <w:tc>
          <w:tcPr>
            <w:tcW w:type="dxa" w:w="425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Compliance policy, procedures, standards, plans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Set approved expectations and controls.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Decision support</w:t>
            </w:r>
          </w:p>
        </w:tc>
        <w:tc>
          <w:tcPr>
            <w:tcW w:type="dxa" w:w="425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Risk assessment, obligation register, due diligence assessment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Support consistent risk-based decisions.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Evidence / records</w:t>
            </w:r>
          </w:p>
        </w:tc>
        <w:tc>
          <w:tcPr>
            <w:tcW w:type="dxa" w:w="425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Training records, approvals, monitoring results, case closure records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Demonstrate what occurred and what was reviewed.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Assurance</w:t>
            </w:r>
          </w:p>
        </w:tc>
        <w:tc>
          <w:tcPr>
            <w:tcW w:type="dxa" w:w="425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Audit plan/report, compliance evaluation, management review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Demonstrate evaluation and oversight.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External reference</w:t>
            </w:r>
          </w:p>
        </w:tc>
        <w:tc>
          <w:tcPr>
            <w:tcW w:type="dxa" w:w="425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Laws, regulator guidance, licences, contract obligations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Define or support applicable compliance obligations.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3. Practical Document Hierarchy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Policy — concise direction and commitments approved at the appropriate level.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Manual / framework — how the CMS is structured, governed and interconnected.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Procedure / work instruction — repeatable method, roles, decisions and records.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Plan — objectives, actions, owners, dates, resources and dependencies.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Form / checklist — consistent capture of required information.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Register / log — controlled structured records for risks, obligations, cases, actions or audits.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Guidance — practical help without creating unnecessary mandatory controls.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4. Minimum Metadata and Naming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Use a stable naming convention and avoid duplicate codes. At minimum, controlled documents should be distinguishable by title, identifier/code, version, owner, approval status/effective date and classification where relevant.</w:t>
      </w: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Do not place technical generation notes or software-compatibility statements inside the operational body of a controlled Word document. Keep the document user-facing and professional.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5. Writing for Operational Use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state the decision or control clearly before adding explanation;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use role names rather than personal names where possible;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define outputs and records for key process steps;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use tables for workflows, responsibilities, matrices and repeatable criteria;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avoid copying long standard text—paraphrase the control intent and link it to organizational practice;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use [Note] only for high-value cautions, preparation steps or interpretation points.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6. Evidence Quality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A useful CMS record should be attributable, dated or period-linked where appropriate, complete enough to support the decision, protected from inappropriate change and retrievable for its retention period. For data-driven controls, preserve source traceability and review evidence.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7. Sensitive Records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Apply enhanced controls to investigation material, whistleblower identity, personal data, due diligence intelligence, sanctions screening, legal advice and board-level compliance matters. Define who may access, export, share or dispose of such information.</w:t>
      </w: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When legal privilege, reporting restrictions or privacy obligations may apply, consult competent internal or external legal/privacy specialists before establishing disclosure and retention rules.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8. External Document Control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For compliance obligations, the key issue is not merely storing a copy—it is maintaining a reliable process for authoritative source identification, applicability, change monitoring, ownership and communication of changes to affected controls.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9. Illustrative Document-Control Examples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Illustrative Data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Document / Record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Good practice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Common failure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EX-DOC-01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Compliance policy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Approved owner, current version, broad availability, clear commitments.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Old copies remain in shared drives without status.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EX-DOC-02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Compliance obligations register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Source, owner, update method, applicability and evaluation evidence are traceable.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Only generic web links and no update responsibility.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EX-DOC-03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Due diligence file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Risk rationale, evidence, approvals and exceptions retained.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Questionnaire retained without approval or resolution evidence.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EX-DOC-04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Investigation record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Restricted access, case chronology and decision rationale protected.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Sensitive personal information is broadly accessible.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EX-DOC-05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Management review minutes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Inputs, decisions, actions, owners and deadlines are clear.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Minutes only state “reviewed” without decisions or actions.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10. Periodic Review Checklist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 the document still needed and used?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Does it reflect current organization structure, risks and verified obligations?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Are related forms, registers and training consistent with it?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Are references and links current?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Are access, classification and retention still appropriate?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Are examples clearly identified and separated from real data?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References and Related Sources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Reference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Use in this document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Source / Location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ISO 37301:2021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Compliance management systems — requirements with guidance for use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https://www.iso.org/standard/75080.html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ISO 37301:2021/Amd 1:2024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Climate action changes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https://www.iso.org/standard/88422.html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Organization CMS documented information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Applicable policies, registers, procedures, audit records and management-review records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[INTERNAL SOURCE / REPOSITORY]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Change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Document Owner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1.0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2026-09-18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Initial issue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Compliance Manager / Document Control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Top Management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20"/>
      <w:jc w:val="center"/>
    </w:pPr>
    <w:r/>
    <w:r>
      <w:rPr>
        <w:rFonts w:ascii="Cambria" w:hAnsi="Cambria" w:eastAsia="Cambria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color w:val="666666"/>
        <w:sz w:val="16"/>
      </w:rPr>
      <w:t xml:space="preserve">CONTROLLED DOCUMENT | INTERNAL | Page </w:t>
    </w:r>
    <w:r>
      <w:rPr>
        <w:rFonts w:ascii="Cambria" w:hAnsi="Cambria" w:eastAsia="Cambria"/>
        <w:color w:val="666666"/>
        <w:sz w:val="16"/>
      </w:rPr>
      <w:fldChar w:fldCharType="begin"/>
      <w:instrText xml:space="preserve"> PAGE </w:instrText>
      <w:fldChar w:fldCharType="end"/>
    </w:r>
    <w:r>
      <w:rPr>
        <w:rFonts w:ascii="Cambria" w:hAnsi="Cambria" w:eastAsia="Cambria"/>
        <w:color w:val="666666"/>
        <w:sz w:val="16"/>
      </w:rPr>
      <w:t xml:space="preserve"> of </w:t>
    </w:r>
    <w:r>
      <w:rPr>
        <w:rFonts w:ascii="Cambria" w:hAnsi="Cambria" w:eastAsia="Cambria"/>
        <w:color w:val="666666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81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ORGANIZATION</w:t>
            <w:br/>
            <w:t>LOGO</w:t>
          </w:r>
        </w:p>
      </w:tc>
      <w:tc>
        <w:tcPr>
          <w:tcW w:type="dxa" w:w="5216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[ORGANIZATION NAME]</w:t>
            <w:br/>
          </w:r>
          <w:r>
            <w:rPr>
              <w:rFonts w:ascii="Cambria" w:hAnsi="Cambria" w:eastAsia="Cambria"/>
              <w:b/>
              <w:color w:val="1F4E79"/>
              <w:sz w:val="18"/>
            </w:rPr>
            <w:t>Documented Information Guidance</w:t>
          </w:r>
        </w:p>
      </w:tc>
      <w:tc>
        <w:tcPr>
          <w:tcW w:type="dxa" w:w="232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right"/>
          </w:pPr>
          <w:r>
            <w:rPr>
              <w:rFonts w:ascii="Cambria" w:hAnsi="Cambria" w:eastAsia="Cambria"/>
              <w:b/>
              <w:color w:val="666666"/>
              <w:sz w:val="16"/>
            </w:rPr>
            <w:t>CMS-GOV-005</w:t>
            <w:br/>
          </w:r>
          <w:r>
            <w:rPr>
              <w:rFonts w:ascii="Cambria" w:hAnsi="Cambria" w:eastAsia="Cambria"/>
              <w:color w:val="666666"/>
              <w:sz w:val="16"/>
            </w:rPr>
            <w:t>Version 1.0</w:t>
            <w:br/>
          </w:r>
          <w:r>
            <w:rPr>
              <w:rFonts w:ascii="Cambria" w:hAnsi="Cambria" w:eastAsia="Cambria"/>
              <w:color w:val="666666"/>
              <w:sz w:val="16"/>
            </w:rPr>
            <w:t>Effective 2026-09-18</w:t>
          </w:r>
        </w:p>
      </w:tc>
    </w:tr>
  </w:tbl>
  <w:p>
    <w:pPr>
      <w:spacing w:after="0"/>
      <w:pBdr>
        <w:bottom w:val="single" w:sz="8" w:color="1F4E79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