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COMPLIANCE POLICY, OBJECTIVES &amp; INDICATORS GUIDANCE</w:t>
      </w:r>
    </w:p>
    <w:p>
      <w:pPr>
        <w:spacing w:after="120"/>
      </w:pPr>
      <w:r>
        <w:rPr>
          <w:rFonts w:ascii="Cambria" w:hAnsi="Cambria" w:eastAsia="Cambria"/>
          <w:b/>
          <w:sz w:val="23"/>
        </w:rPr>
        <w:t>ISO 37301:2021 + Amd 1:2024</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Chief Compliance Officer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Top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Provide practical guidance for developing a concise compliance policy and translating it into measurable CMS objectives and indicators that support leadership decisions and continual improvement.</w:t>
      </w: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Examples in this guidance are illustrative. Policy commitments, objectives, thresholds and indicators must reflect the organization’s actual compliance obligations, risk profile, strategy and governance arrangements.</w:t>
            </w:r>
          </w:p>
        </w:tc>
      </w:tr>
    </w:tbl>
    <w:p>
      <w:pPr>
        <w:spacing w:after="20"/>
      </w:pPr>
    </w:p>
    <w:p>
      <w:pPr>
        <w:pStyle w:val="Heading1"/>
        <w:keepNext/>
        <w:spacing w:before="120" w:after="60" w:line="252" w:lineRule="auto"/>
      </w:pPr>
      <w:r>
        <w:rPr>
          <w:rFonts w:ascii="Cambria" w:hAnsi="Cambria" w:eastAsia="Cambria"/>
          <w:b/>
          <w:color w:val="1F4E79"/>
          <w:sz w:val="24"/>
        </w:rPr>
        <w:t>2. Compliance Policy Design</w:t>
      </w:r>
    </w:p>
    <w:p>
      <w:pPr>
        <w:spacing w:before="0" w:after="80" w:line="252" w:lineRule="auto"/>
      </w:pPr>
      <w:r>
        <w:rPr>
          <w:rFonts w:ascii="Cambria" w:hAnsi="Cambria" w:eastAsia="Cambria"/>
          <w:i w:val="0"/>
          <w:sz w:val="20"/>
        </w:rPr>
        <w:t>A compliance policy should be short enough to communicate, broad enough to govern the CMS, and specific enough to establish clear expectations. It should be approved at the appropriate leadership level and made available to relevant internal and external parties as determined by the organization.</w:t>
      </w:r>
    </w:p>
    <w:tbl>
      <w:tblPr>
        <w:tblW w:type="auto" w:w="0"/>
        <w:jc w:val="center"/>
        <w:tblLayout w:type="fixed"/>
        <w:tblLook w:val="04A0"/>
      </w:tblPr>
      <w:tblGrid>
        <w:gridCol w:w="4677"/>
        <w:gridCol w:w="4677"/>
      </w:tblGrid>
      <w:tr>
        <w:trPr>
          <w:tblHeader w:val="true"/>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Policy Element</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Practical Content</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Purpose / Intent</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Why compliance matters to the organization and how it supports responsible, sustainable operation.</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Commitment to Obligations</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Commitment to meet applicable compliance obligations and maintain effective controls.</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Integrity / Ethical Conduct</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Expectation that personnel and relevant partners act consistently with approved values and standards.</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Speaking Up / Protection</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Commitment to accessible concern reporting and proportionate protection from inappropriate retaliation.</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Investigation / Remediation</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Commitment to fair investigation, correction and corrective action for substantiated issues.</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Resources / Competence</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Commitment to provide resources and competence proportionate to CMS needs.</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Continual Improvement</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Commitment to monitor, review and improve CMS effectiveness.</w:t>
            </w:r>
          </w:p>
        </w:tc>
      </w:tr>
    </w:tbl>
    <w:p>
      <w:pPr>
        <w:pStyle w:val="Heading1"/>
        <w:keepNext/>
        <w:spacing w:before="120" w:after="60" w:line="252" w:lineRule="auto"/>
      </w:pPr>
      <w:r>
        <w:rPr>
          <w:rFonts w:ascii="Cambria" w:hAnsi="Cambria" w:eastAsia="Cambria"/>
          <w:b/>
          <w:color w:val="1F4E79"/>
          <w:sz w:val="24"/>
        </w:rPr>
        <w:t>3. Policy Drafting Checklist</w:t>
      </w:r>
    </w:p>
    <w:p>
      <w:pPr>
        <w:pStyle w:val="ListBullet"/>
        <w:spacing w:before="0" w:after="50" w:line="252" w:lineRule="auto"/>
      </w:pPr>
      <w:r>
        <w:rPr>
          <w:rFonts w:ascii="Cambria" w:hAnsi="Cambria" w:eastAsia="Cambria"/>
          <w:sz w:val="20"/>
        </w:rPr>
        <w:t>Aligned with organizational purpose, values, strategy and CMS scope.</w:t>
      </w:r>
    </w:p>
    <w:p>
      <w:pPr>
        <w:pStyle w:val="ListBullet"/>
        <w:spacing w:before="0" w:after="50" w:line="252" w:lineRule="auto"/>
      </w:pPr>
      <w:r>
        <w:rPr>
          <w:rFonts w:ascii="Cambria" w:hAnsi="Cambria" w:eastAsia="Cambria"/>
          <w:sz w:val="20"/>
        </w:rPr>
        <w:t>Consistent with actual governance roles and escalation routes.</w:t>
      </w:r>
    </w:p>
    <w:p>
      <w:pPr>
        <w:pStyle w:val="ListBullet"/>
        <w:spacing w:before="0" w:after="50" w:line="252" w:lineRule="auto"/>
      </w:pPr>
      <w:r>
        <w:rPr>
          <w:rFonts w:ascii="Cambria" w:hAnsi="Cambria" w:eastAsia="Cambria"/>
          <w:sz w:val="20"/>
        </w:rPr>
        <w:t>Avoids promises the organization cannot evidence or sustain.</w:t>
      </w:r>
    </w:p>
    <w:p>
      <w:pPr>
        <w:pStyle w:val="ListBullet"/>
        <w:spacing w:before="0" w:after="50" w:line="252" w:lineRule="auto"/>
      </w:pPr>
      <w:r>
        <w:rPr>
          <w:rFonts w:ascii="Cambria" w:hAnsi="Cambria" w:eastAsia="Cambria"/>
          <w:sz w:val="20"/>
        </w:rPr>
        <w:t>Uses plain language appropriate for employees and relevant external parties.</w:t>
      </w:r>
    </w:p>
    <w:p>
      <w:pPr>
        <w:pStyle w:val="ListBullet"/>
        <w:spacing w:before="0" w:after="50" w:line="252" w:lineRule="auto"/>
      </w:pPr>
      <w:r>
        <w:rPr>
          <w:rFonts w:ascii="Cambria" w:hAnsi="Cambria" w:eastAsia="Cambria"/>
          <w:sz w:val="20"/>
        </w:rPr>
        <w:t>Defines accountability for approval, communication and periodic review.</w:t>
      </w:r>
    </w:p>
    <w:p>
      <w:pPr>
        <w:pStyle w:val="Heading1"/>
        <w:keepNext/>
        <w:spacing w:before="120" w:after="60" w:line="252" w:lineRule="auto"/>
      </w:pPr>
      <w:r>
        <w:rPr>
          <w:rFonts w:ascii="Cambria" w:hAnsi="Cambria" w:eastAsia="Cambria"/>
          <w:b/>
          <w:color w:val="1F4E79"/>
          <w:sz w:val="24"/>
        </w:rPr>
        <w:t>4. Objectives Framework</w:t>
      </w:r>
    </w:p>
    <w:p>
      <w:pPr>
        <w:spacing w:before="0" w:after="80" w:line="252" w:lineRule="auto"/>
      </w:pPr>
      <w:r>
        <w:rPr>
          <w:rFonts w:ascii="Cambria" w:hAnsi="Cambria" w:eastAsia="Cambria"/>
          <w:i w:val="0"/>
          <w:sz w:val="20"/>
        </w:rPr>
        <w:t>CMS objectives should focus management attention on priority outcomes rather than simply counting activities. Each objective should have an owner, target/timeframe, data source, review frequency and defined action when performance is off track.</w:t>
      </w:r>
    </w:p>
    <w:tbl>
      <w:tblPr>
        <w:tblW w:type="auto" w:w="0"/>
        <w:jc w:val="center"/>
        <w:tblLayout w:type="fixed"/>
        <w:tblLook w:val="04A0"/>
      </w:tblPr>
      <w:tblGrid>
        <w:gridCol w:w="1559"/>
        <w:gridCol w:w="1559"/>
        <w:gridCol w:w="1559"/>
        <w:gridCol w:w="1559"/>
        <w:gridCol w:w="1559"/>
        <w:gridCol w:w="1559"/>
      </w:tblGrid>
      <w:tr>
        <w:trPr>
          <w:tblHeader w:val="true"/>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Data Type</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Illustrative Objective</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Illustrative Measure / Target</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Owner</w:t>
            </w:r>
          </w:p>
        </w:tc>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Review</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Data Source</w:t>
            </w:r>
          </w:p>
        </w:tc>
      </w:tr>
      <w:tr>
        <w:trPr>
          <w:cantSplit/>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Example Data</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Improve evidence-based compliance evaluation of priority obligations</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100% of designated high-priority obligation families evaluated using the approved method by year-end</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Compliance Assurance Lead</w:t>
            </w:r>
          </w:p>
        </w:tc>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Quarterly</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Evaluation register / evidence reviews</w:t>
            </w:r>
          </w:p>
        </w:tc>
      </w:tr>
      <w:tr>
        <w:trPr>
          <w:cantSplit/>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Example Data</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Strengthen third-party risk controls</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≥95% of high-risk third-party onboarding files complete all required enhanced due diligence before approval</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Third-Party Risk Manager</w:t>
            </w:r>
          </w:p>
        </w:tc>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Monthly</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Due diligence system / sample review</w:t>
            </w:r>
          </w:p>
        </w:tc>
      </w:tr>
      <w:tr>
        <w:trPr>
          <w:cantSplit/>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Example Data</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Improve speak-up case timeliness</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≥90% of new concerns triaged within the organization’s approved service level</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Ethics &amp; Compliance Lead</w:t>
            </w:r>
          </w:p>
        </w:tc>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Monthly</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Case-management system</w:t>
            </w:r>
          </w:p>
        </w:tc>
      </w:tr>
      <w:tr>
        <w:trPr>
          <w:cantSplit/>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Example Data</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Improve corrective-action discipline</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≥90% of high-priority CMS actions closed by approved due date or formally re-approved</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Compliance PMO / Owners</w:t>
            </w:r>
          </w:p>
        </w:tc>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Monthly</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CAPA / action tracker</w:t>
            </w:r>
          </w:p>
        </w:tc>
      </w:tr>
      <w:tr>
        <w:trPr>
          <w:cantSplit/>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Example Data</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Increase role-based compliance competence</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≥95% of designated compliance-sensitive roles complete required learning within approved timeframe</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HR &amp; Compliance Lead</w:t>
            </w:r>
          </w:p>
        </w:tc>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Quarterly</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Learning management system</w:t>
            </w:r>
          </w:p>
        </w:tc>
      </w:tr>
    </w:tbl>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Do not copy example targets into controlled objectives without considering the organization’s baseline, risk appetite/tolerance, resources and available data quality.</w:t>
            </w:r>
          </w:p>
        </w:tc>
      </w:tr>
    </w:tbl>
    <w:p>
      <w:pPr>
        <w:spacing w:after="20"/>
      </w:pPr>
    </w:p>
    <w:p>
      <w:pPr>
        <w:pStyle w:val="Heading1"/>
        <w:keepNext/>
        <w:spacing w:before="120" w:after="60" w:line="252" w:lineRule="auto"/>
      </w:pPr>
      <w:r>
        <w:rPr>
          <w:rFonts w:ascii="Cambria" w:hAnsi="Cambria" w:eastAsia="Cambria"/>
          <w:b/>
          <w:color w:val="1F4E79"/>
          <w:sz w:val="24"/>
        </w:rPr>
        <w:t>5. Indicator Categories</w:t>
      </w:r>
    </w:p>
    <w:tbl>
      <w:tblPr>
        <w:tblW w:type="auto" w:w="0"/>
        <w:jc w:val="center"/>
        <w:tblLayout w:type="fixed"/>
        <w:tblLook w:val="04A0"/>
      </w:tblPr>
      <w:tblGrid>
        <w:gridCol w:w="3118"/>
        <w:gridCol w:w="3118"/>
        <w:gridCol w:w="3118"/>
      </w:tblGrid>
      <w:tr>
        <w:trPr>
          <w:tblHeader w:val="true"/>
        </w:trPr>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Category</w:t>
            </w:r>
          </w:p>
        </w:tc>
        <w:tc>
          <w:tcPr>
            <w:tcW w:type="dxa" w:w="442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Examples</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Management Question</w:t>
            </w:r>
          </w:p>
        </w:tc>
      </w:tr>
      <w:tr>
        <w:trPr>
          <w:cantSplit/>
        </w:trPr>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Leading / Preventive</w:t>
            </w:r>
          </w:p>
        </w:tc>
        <w:tc>
          <w:tcPr>
            <w:tcW w:type="dxa" w:w="442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Due diligence completion, training timeliness, control-test completion</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Are preventive controls being performed as planned?</w:t>
            </w:r>
          </w:p>
        </w:tc>
      </w:tr>
      <w:tr>
        <w:trPr>
          <w:cantSplit/>
        </w:trPr>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Outcome / Lagging</w:t>
            </w:r>
          </w:p>
        </w:tc>
        <w:tc>
          <w:tcPr>
            <w:tcW w:type="dxa" w:w="442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Substantiated cases, repeated findings, confirmed breaches, regulator outcomes where applicable</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What adverse compliance outcomes are occurring?</w:t>
            </w:r>
          </w:p>
        </w:tc>
      </w:tr>
      <w:tr>
        <w:trPr>
          <w:cantSplit/>
        </w:trPr>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Culture / Reporting</w:t>
            </w:r>
          </w:p>
        </w:tc>
        <w:tc>
          <w:tcPr>
            <w:tcW w:type="dxa" w:w="442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Speak-up awareness, concern reporting, retaliation allegations, management survey themes</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Do people know how to raise concerns and trust the process?</w:t>
            </w:r>
          </w:p>
        </w:tc>
      </w:tr>
      <w:tr>
        <w:trPr>
          <w:cantSplit/>
        </w:trPr>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Assurance</w:t>
            </w:r>
          </w:p>
        </w:tc>
        <w:tc>
          <w:tcPr>
            <w:tcW w:type="dxa" w:w="442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Compliance evaluation completion, audit findings, corrective-action effectiveness</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Is the CMS producing reliable evidence of effectiveness?</w:t>
            </w:r>
          </w:p>
        </w:tc>
      </w:tr>
      <w:tr>
        <w:trPr>
          <w:cantSplit/>
        </w:trPr>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Third-Party / Supplier</w:t>
            </w:r>
          </w:p>
        </w:tc>
        <w:tc>
          <w:tcPr>
            <w:tcW w:type="dxa" w:w="442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High-risk review coverage, overdue remediation, monitoring exceptions</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Are external relationships controlled proportionately to risk?</w:t>
            </w:r>
          </w:p>
        </w:tc>
      </w:tr>
    </w:tbl>
    <w:p>
      <w:pPr>
        <w:pStyle w:val="Heading1"/>
        <w:keepNext/>
        <w:spacing w:before="120" w:after="60" w:line="252" w:lineRule="auto"/>
      </w:pPr>
      <w:r>
        <w:rPr>
          <w:rFonts w:ascii="Cambria" w:hAnsi="Cambria" w:eastAsia="Cambria"/>
          <w:b/>
          <w:color w:val="1F4E79"/>
          <w:sz w:val="24"/>
        </w:rPr>
        <w:t>6. Indicator Design Rules</w:t>
      </w:r>
    </w:p>
    <w:p>
      <w:pPr>
        <w:pStyle w:val="ListBullet"/>
        <w:spacing w:before="0" w:after="50" w:line="252" w:lineRule="auto"/>
      </w:pPr>
      <w:r>
        <w:rPr>
          <w:rFonts w:ascii="Cambria" w:hAnsi="Cambria" w:eastAsia="Cambria"/>
          <w:sz w:val="20"/>
        </w:rPr>
        <w:t>Define numerator, denominator, exclusions and data owner.</w:t>
      </w:r>
    </w:p>
    <w:p>
      <w:pPr>
        <w:pStyle w:val="ListBullet"/>
        <w:spacing w:before="0" w:after="50" w:line="252" w:lineRule="auto"/>
      </w:pPr>
      <w:r>
        <w:rPr>
          <w:rFonts w:ascii="Cambria" w:hAnsi="Cambria" w:eastAsia="Cambria"/>
          <w:sz w:val="20"/>
        </w:rPr>
        <w:t>Use stable definitions so trends remain comparable.</w:t>
      </w:r>
    </w:p>
    <w:p>
      <w:pPr>
        <w:pStyle w:val="ListBullet"/>
        <w:spacing w:before="0" w:after="50" w:line="252" w:lineRule="auto"/>
      </w:pPr>
      <w:r>
        <w:rPr>
          <w:rFonts w:ascii="Cambria" w:hAnsi="Cambria" w:eastAsia="Cambria"/>
          <w:sz w:val="20"/>
        </w:rPr>
        <w:t>Identify data-quality checks and source-system limitations.</w:t>
      </w:r>
    </w:p>
    <w:p>
      <w:pPr>
        <w:pStyle w:val="ListBullet"/>
        <w:spacing w:before="0" w:after="50" w:line="252" w:lineRule="auto"/>
      </w:pPr>
      <w:r>
        <w:rPr>
          <w:rFonts w:ascii="Cambria" w:hAnsi="Cambria" w:eastAsia="Cambria"/>
          <w:sz w:val="20"/>
        </w:rPr>
        <w:t>Set thresholds that drive action, not merely presentation.</w:t>
      </w:r>
    </w:p>
    <w:p>
      <w:pPr>
        <w:pStyle w:val="ListBullet"/>
        <w:spacing w:before="0" w:after="50" w:line="252" w:lineRule="auto"/>
      </w:pPr>
      <w:r>
        <w:rPr>
          <w:rFonts w:ascii="Cambria" w:hAnsi="Cambria" w:eastAsia="Cambria"/>
          <w:sz w:val="20"/>
        </w:rPr>
        <w:t>Avoid incentives that could discourage concern reporting or create pressure to conceal problems.</w:t>
      </w:r>
    </w:p>
    <w:p>
      <w:pPr>
        <w:pStyle w:val="ListBullet"/>
        <w:spacing w:before="0" w:after="50" w:line="252" w:lineRule="auto"/>
      </w:pPr>
      <w:r>
        <w:rPr>
          <w:rFonts w:ascii="Cambria" w:hAnsi="Cambria" w:eastAsia="Cambria"/>
          <w:sz w:val="20"/>
        </w:rPr>
        <w:t>Pair activity indicators with outcome/effectiveness evidence.</w:t>
      </w:r>
    </w:p>
    <w:p>
      <w:pPr>
        <w:pStyle w:val="Heading1"/>
        <w:keepNext/>
        <w:spacing w:before="120" w:after="60" w:line="252" w:lineRule="auto"/>
      </w:pPr>
      <w:r>
        <w:rPr>
          <w:rFonts w:ascii="Cambria" w:hAnsi="Cambria" w:eastAsia="Cambria"/>
          <w:b/>
          <w:color w:val="1F4E79"/>
          <w:sz w:val="24"/>
        </w:rPr>
        <w:t>7. Review and Escalation</w:t>
      </w:r>
    </w:p>
    <w:p>
      <w:pPr>
        <w:spacing w:before="0" w:after="80" w:line="252" w:lineRule="auto"/>
      </w:pPr>
      <w:r>
        <w:rPr>
          <w:rFonts w:ascii="Cambria" w:hAnsi="Cambria" w:eastAsia="Cambria"/>
          <w:i w:val="0"/>
          <w:sz w:val="20"/>
        </w:rPr>
        <w:t>Indicators are reviewed at a frequency proportionate to risk. Material deviations, data-quality concerns and persistent adverse trends should trigger investigation, action or escalation. Objectives are updated when context, obligations, risk profile, strategy or control arrangements materially change.</w:t>
      </w:r>
    </w:p>
    <w:p>
      <w:pPr>
        <w:pStyle w:val="Heading1"/>
        <w:keepNext/>
        <w:spacing w:before="120" w:after="60" w:line="252" w:lineRule="auto"/>
      </w:pPr>
      <w:r>
        <w:rPr>
          <w:rFonts w:ascii="Cambria" w:hAnsi="Cambria" w:eastAsia="Cambria"/>
          <w:b/>
          <w:color w:val="1F4E79"/>
          <w:sz w:val="24"/>
        </w:rPr>
        <w:t>8. References</w:t>
      </w:r>
    </w:p>
    <w:p>
      <w:pPr>
        <w:pStyle w:val="ListBullet"/>
        <w:spacing w:before="0" w:after="50" w:line="252" w:lineRule="auto"/>
      </w:pPr>
      <w:r>
        <w:rPr>
          <w:rFonts w:ascii="Cambria" w:hAnsi="Cambria" w:eastAsia="Cambria"/>
          <w:sz w:val="20"/>
        </w:rPr>
        <w:t>ISO 37301:2021 and ISO 37301:2021/Amd 1:2024.</w:t>
      </w:r>
    </w:p>
    <w:p>
      <w:pPr>
        <w:pStyle w:val="ListBullet"/>
        <w:spacing w:before="0" w:after="50" w:line="252" w:lineRule="auto"/>
      </w:pPr>
      <w:r>
        <w:rPr>
          <w:rFonts w:ascii="Cambria" w:hAnsi="Cambria" w:eastAsia="Cambria"/>
          <w:sz w:val="20"/>
        </w:rPr>
        <w:t>Organization compliance policy, obligations register, compliance risk register, objectives register and management-review records.</w:t>
      </w:r>
    </w:p>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Chief Compliance Officer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Top Management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Compliance Policy, Objectives &amp; Indicators Guidance</w:t>
          </w:r>
        </w:p>
      </w:tc>
      <w:tc>
        <w:tcPr>
          <w:tcW w:type="dxa" w:w="2324"/>
          <w:tcMar>
            <w:top w:w="20" w:type="dxa"/>
            <w:left w:w="40" w:type="dxa"/>
            <w:bottom w:w="20" w:type="dxa"/>
            <w:right w:w="40" w:type="dxa"/>
          </w:tcMar>
        </w:tcPr>
        <w:p>
          <w:pPr>
            <w:jc w:val="right"/>
          </w:pPr>
          <w:r>
            <w:rPr>
              <w:rFonts w:ascii="Cambria" w:hAnsi="Cambria" w:eastAsia="Cambria"/>
              <w:b/>
              <w:color w:val="666666"/>
              <w:sz w:val="16"/>
            </w:rPr>
            <w:t>CMS-GOV-002</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dcterms:created xsi:type="dcterms:W3CDTF">2013-12-23T23:15:00Z</dcterms:created>
  <dcterms:modified xsi:type="dcterms:W3CDTF">2013-12-23T23:15:00Z</dcterms:modified>
  <cp:category/>
</cp:coreProperties>
</file>