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MANAGEMENT SYSTEM GUIDANCE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Chief Compliance Officer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implementation and operating guidance for building a practical, integrated and evidence-based compliance management system (CMS) aligned with ISO 37301:2021 and its 2024 climate-action amendment.</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Use ISO 37301 as the management-system framework. The actual compliance obligations the organization must meet come from applicable laws, regulations, permits, licenses, contracts, codes, commitments and other verified sources relevant to its context.</w:t>
            </w:r>
          </w:p>
        </w:tc>
      </w:tr>
    </w:tbl>
    <w:p>
      <w:pPr>
        <w:spacing w:after="20"/>
      </w:pPr>
    </w:p>
    <w:p>
      <w:pPr>
        <w:pStyle w:val="Heading1"/>
        <w:keepNext/>
        <w:spacing w:before="120" w:after="60" w:line="252" w:lineRule="auto"/>
      </w:pPr>
      <w:r>
        <w:rPr>
          <w:rFonts w:ascii="Cambria" w:hAnsi="Cambria" w:eastAsia="Cambria"/>
          <w:b/>
          <w:color w:val="1F4E79"/>
          <w:sz w:val="24"/>
        </w:rPr>
        <w:t>2. Implementation Sequence</w:t>
      </w:r>
    </w:p>
    <w:tbl>
      <w:tblPr>
        <w:tblW w:type="auto" w:w="0"/>
        <w:jc w:val="center"/>
        <w:tblLayout w:type="fixed"/>
        <w:tblLook w:val="04A0"/>
      </w:tblPr>
      <w:tblGrid>
        <w:gridCol w:w="3118"/>
        <w:gridCol w:w="3118"/>
        <w:gridCol w:w="3118"/>
      </w:tblGrid>
      <w:tr>
        <w:trPr>
          <w:tblHeader w:val="true"/>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Phase</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Primary Work</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Evidence of Progress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1. Mobilize</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sponsorship, CMS scope, programme governance, resources and implementation plan.</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Project charter, scope, roles, plan</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2. Understand Context</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business model, interested parties, climate relevance, obligations landscape and existing controls.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 interested-party analysis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3. Build Obligations &amp; Risk Baseline</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Establish obligation sources, applicability, ownership, risk assessment and priority risk themes.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Obligations register, risk register</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4. Design Governance &amp; Controls</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policy/function mandate, responsibilities, reporting channels and priority controls.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procedures, control inventory</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5. Implement &amp; Embed</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Train roles, operate controls, perform due diligence, communicate expectations and collect evidence.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Operating records, training, approvals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6. Evaluate</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 controls, evaluate compliance, audit CMS performance and review management information.</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evaluations, audit reports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7. Improve &amp; Sustain</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 issues, verify actions, update risks/controls and refresh management review.</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 updated controls, review decisions</w:t>
            </w:r>
          </w:p>
        </w:tc>
      </w:tr>
    </w:tbl>
    <w:p>
      <w:pPr>
        <w:pStyle w:val="Heading1"/>
        <w:keepNext/>
        <w:spacing w:before="120" w:after="60" w:line="252" w:lineRule="auto"/>
      </w:pPr>
      <w:r>
        <w:rPr>
          <w:rFonts w:ascii="Cambria" w:hAnsi="Cambria" w:eastAsia="Cambria"/>
          <w:b/>
          <w:color w:val="1F4E79"/>
          <w:sz w:val="24"/>
        </w:rPr>
        <w:t>3. Compliance Obligations Architecture</w:t>
      </w:r>
    </w:p>
    <w:p>
      <w:pPr>
        <w:spacing w:before="0" w:after="80" w:line="252" w:lineRule="auto"/>
      </w:pPr>
      <w:r>
        <w:rPr>
          <w:rFonts w:ascii="Cambria" w:hAnsi="Cambria" w:eastAsia="Cambria"/>
          <w:i w:val="0"/>
          <w:sz w:val="20"/>
        </w:rPr>
        <w:t>Maintain a controlled obligations structure that links each material obligation or obligation family to source, applicability, accountable function, relevant risk, control, evidence/evaluation method and review/update ownership. This provides traceability without overloading the register with legal text.</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populate obligation registers with unverified web summaries. Use authoritative or otherwise formally approved sources and record how updates are detected and validated.</w:t>
            </w:r>
          </w:p>
        </w:tc>
      </w:tr>
    </w:tbl>
    <w:p>
      <w:pPr>
        <w:spacing w:after="20"/>
      </w:pPr>
    </w:p>
    <w:p>
      <w:pPr>
        <w:pStyle w:val="Heading1"/>
        <w:keepNext/>
        <w:spacing w:before="120" w:after="60" w:line="252" w:lineRule="auto"/>
      </w:pPr>
      <w:r>
        <w:rPr>
          <w:rFonts w:ascii="Cambria" w:hAnsi="Cambria" w:eastAsia="Cambria"/>
          <w:b/>
          <w:color w:val="1F4E79"/>
          <w:sz w:val="24"/>
        </w:rPr>
        <w:t>4. Risk-Based Compliance Management</w:t>
      </w:r>
    </w:p>
    <w:p>
      <w:pPr>
        <w:pStyle w:val="ListBullet"/>
        <w:spacing w:before="0" w:after="50" w:line="252" w:lineRule="auto"/>
      </w:pPr>
      <w:r>
        <w:rPr>
          <w:rFonts w:ascii="Cambria" w:hAnsi="Cambria" w:eastAsia="Cambria"/>
          <w:sz w:val="20"/>
        </w:rPr>
        <w:t>Use consistent criteria and enough granularity to distinguish priority risks.</w:t>
      </w:r>
    </w:p>
    <w:p>
      <w:pPr>
        <w:pStyle w:val="ListBullet"/>
        <w:spacing w:before="0" w:after="50" w:line="252" w:lineRule="auto"/>
      </w:pPr>
      <w:r>
        <w:rPr>
          <w:rFonts w:ascii="Cambria" w:hAnsi="Cambria" w:eastAsia="Cambria"/>
          <w:sz w:val="20"/>
        </w:rPr>
        <w:t>Consider inherent exposure, control design/operation, consequence and relevant contextual factors.</w:t>
      </w:r>
    </w:p>
    <w:p>
      <w:pPr>
        <w:pStyle w:val="ListBullet"/>
        <w:spacing w:before="0" w:after="50" w:line="252" w:lineRule="auto"/>
      </w:pPr>
      <w:r>
        <w:rPr>
          <w:rFonts w:ascii="Cambria" w:hAnsi="Cambria" w:eastAsia="Cambria"/>
          <w:sz w:val="20"/>
        </w:rPr>
        <w:t>Reassess after material change, significant concern/investigation, regulatory change or repeated control failure.</w:t>
      </w:r>
    </w:p>
    <w:p>
      <w:pPr>
        <w:pStyle w:val="ListBullet"/>
        <w:spacing w:before="0" w:after="50" w:line="252" w:lineRule="auto"/>
      </w:pPr>
      <w:r>
        <w:rPr>
          <w:rFonts w:ascii="Cambria" w:hAnsi="Cambria" w:eastAsia="Cambria"/>
          <w:sz w:val="20"/>
        </w:rPr>
        <w:t>Use the risk assessment to drive controls, due diligence, training, monitoring and audit scope.</w:t>
      </w:r>
    </w:p>
    <w:p>
      <w:pPr>
        <w:pStyle w:val="Heading1"/>
        <w:keepNext/>
        <w:spacing w:before="120" w:after="60" w:line="252" w:lineRule="auto"/>
      </w:pPr>
      <w:r>
        <w:rPr>
          <w:rFonts w:ascii="Cambria" w:hAnsi="Cambria" w:eastAsia="Cambria"/>
          <w:b/>
          <w:color w:val="1F4E79"/>
          <w:sz w:val="24"/>
        </w:rPr>
        <w:t>5. Governance, Culture and Accountability</w:t>
      </w:r>
    </w:p>
    <w:p>
      <w:pPr>
        <w:spacing w:before="0" w:after="80" w:line="252" w:lineRule="auto"/>
      </w:pPr>
      <w:r>
        <w:rPr>
          <w:rFonts w:ascii="Cambria" w:hAnsi="Cambria" w:eastAsia="Cambria"/>
          <w:i w:val="0"/>
          <w:sz w:val="20"/>
        </w:rPr>
        <w:t>A mature CMS combines formal governance with daily management behavior. Leadership should make compliance expectations visible in decisions, resource allocation, targets, incentives, escalation and treatment of concerns. Roles must be explicit so the compliance function can advise and challenge without becoming the sole owner of business compliance.</w:t>
      </w:r>
    </w:p>
    <w:p>
      <w:pPr>
        <w:pStyle w:val="Heading1"/>
        <w:keepNext/>
        <w:spacing w:before="120" w:after="60" w:line="252" w:lineRule="auto"/>
      </w:pPr>
      <w:r>
        <w:rPr>
          <w:rFonts w:ascii="Cambria" w:hAnsi="Cambria" w:eastAsia="Cambria"/>
          <w:b/>
          <w:color w:val="1F4E79"/>
          <w:sz w:val="24"/>
        </w:rPr>
        <w:t>6. Operational Control Design</w:t>
      </w:r>
    </w:p>
    <w:tbl>
      <w:tblPr>
        <w:tblW w:type="auto" w:w="0"/>
        <w:jc w:val="center"/>
        <w:tblLayout w:type="fixed"/>
        <w:tblLook w:val="04A0"/>
      </w:tblPr>
      <w:tblGrid>
        <w:gridCol w:w="4677"/>
        <w:gridCol w:w="4677"/>
      </w:tblGrid>
      <w:tr>
        <w:trPr>
          <w:tblHeader w:val="true"/>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Question</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Good Control Design Should Show</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risk / obligation is addressed?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 clear link to a compliance risk, obligation or approved internal requirement.</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Who owns it?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One accountable role with authority to operate or oversee the control.</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triggers it?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Defined event, transaction, frequency or threshold.</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evidence is retained?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Traceable record sufficient to demonstrate the control actually operated.</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happens on exception?</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Escalation, hold, approval or corrective-action route proportionate to risk.</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How is effectiveness checked?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review, testing, compliance evaluation or audit.</w:t>
            </w:r>
          </w:p>
        </w:tc>
      </w:tr>
    </w:tbl>
    <w:p>
      <w:pPr>
        <w:pStyle w:val="Heading1"/>
        <w:keepNext/>
        <w:spacing w:before="120" w:after="60" w:line="252" w:lineRule="auto"/>
      </w:pPr>
      <w:r>
        <w:rPr>
          <w:rFonts w:ascii="Cambria" w:hAnsi="Cambria" w:eastAsia="Cambria"/>
          <w:b/>
          <w:color w:val="1F4E79"/>
          <w:sz w:val="24"/>
        </w:rPr>
        <w:t>7. Third-Party and Supplier Lifecycle</w:t>
      </w:r>
    </w:p>
    <w:p>
      <w:pPr>
        <w:spacing w:before="0" w:after="80" w:line="252" w:lineRule="auto"/>
      </w:pPr>
      <w:r>
        <w:rPr>
          <w:rFonts w:ascii="Cambria" w:hAnsi="Cambria" w:eastAsia="Cambria"/>
          <w:i w:val="0"/>
          <w:sz w:val="20"/>
        </w:rPr>
        <w:t>Apply proportionate controls from relationship initiation through exit. Risk factors may include relationship type, services, geography, compensation model, government interaction, data/system access, subcontracting, regulatory exposure and prior concerns. Higher-risk relationships generally require deeper due diligence, stronger approvals, enhanced contract controls and ongoing monitoring.</w:t>
      </w:r>
    </w:p>
    <w:p>
      <w:pPr>
        <w:pStyle w:val="Heading1"/>
        <w:keepNext/>
        <w:spacing w:before="120" w:after="60" w:line="252" w:lineRule="auto"/>
      </w:pPr>
      <w:r>
        <w:rPr>
          <w:rFonts w:ascii="Cambria" w:hAnsi="Cambria" w:eastAsia="Cambria"/>
          <w:b/>
          <w:color w:val="1F4E79"/>
          <w:sz w:val="24"/>
        </w:rPr>
        <w:t>8. Speak-Up and Investigation System</w:t>
      </w:r>
    </w:p>
    <w:p>
      <w:pPr>
        <w:spacing w:before="0" w:after="80" w:line="252" w:lineRule="auto"/>
      </w:pPr>
      <w:r>
        <w:rPr>
          <w:rFonts w:ascii="Cambria" w:hAnsi="Cambria" w:eastAsia="Cambria"/>
          <w:i w:val="0"/>
          <w:sz w:val="20"/>
        </w:rPr>
        <w:t>Design concern-reporting routes that are accessible to intended users and supported by confidential handling, conflict checks, consistent triage, competent investigations, documented decisions and proportionate remediation. Monitor timeliness, quality and recurring themes without creating targets that discourage reporting.</w:t>
      </w:r>
    </w:p>
    <w:p>
      <w:pPr>
        <w:pStyle w:val="Heading1"/>
        <w:keepNext/>
        <w:spacing w:before="120" w:after="60" w:line="252" w:lineRule="auto"/>
      </w:pPr>
      <w:r>
        <w:rPr>
          <w:rFonts w:ascii="Cambria" w:hAnsi="Cambria" w:eastAsia="Cambria"/>
          <w:b/>
          <w:color w:val="1F4E79"/>
          <w:sz w:val="24"/>
        </w:rPr>
        <w:t>9. Competence and Communication</w:t>
      </w:r>
    </w:p>
    <w:p>
      <w:pPr>
        <w:spacing w:before="0" w:after="80" w:line="252" w:lineRule="auto"/>
      </w:pPr>
      <w:r>
        <w:rPr>
          <w:rFonts w:ascii="Cambria" w:hAnsi="Cambria" w:eastAsia="Cambria"/>
          <w:i w:val="0"/>
          <w:sz w:val="20"/>
        </w:rPr>
        <w:t>Use a role-based competence model rather than one universal annual training. Focus on decisions and controls people actually perform, reinforce expectations through practical communications, and refresh training when risk, obligations, responsibilities or lessons learned change.</w:t>
      </w:r>
    </w:p>
    <w:p>
      <w:pPr>
        <w:pStyle w:val="Heading1"/>
        <w:keepNext/>
        <w:spacing w:before="120" w:after="60" w:line="252" w:lineRule="auto"/>
      </w:pPr>
      <w:r>
        <w:rPr>
          <w:rFonts w:ascii="Cambria" w:hAnsi="Cambria" w:eastAsia="Cambria"/>
          <w:b/>
          <w:color w:val="1F4E79"/>
          <w:sz w:val="24"/>
        </w:rPr>
        <w:t>10. Performance and Effectiveness</w:t>
      </w:r>
    </w:p>
    <w:p>
      <w:pPr>
        <w:spacing w:before="0" w:after="80" w:line="252" w:lineRule="auto"/>
      </w:pPr>
      <w:r>
        <w:rPr>
          <w:rFonts w:ascii="Cambria" w:hAnsi="Cambria" w:eastAsia="Cambria"/>
          <w:i w:val="0"/>
          <w:sz w:val="20"/>
        </w:rPr>
        <w:t>Assess effectiveness through a balanced evidence set: control operation, compliance evaluations, trend indicators, speak-up/investigation outcomes, third-party/supplier performance, audit results, corrective-action effectiveness, management decisions and culture evidence. Activity completion alone is insufficient.</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Evidence Type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 Management Use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Leading control indicators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Detect weakening preventive controls before adverse outcomes.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evaluation results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evidence-based conclusions on obligation fulfillment.</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Concerns / investigations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recurring themes, control failure and culture issues.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 assurance results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independent challenge and systemic insight.</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Corrective-action effectiveness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that remediation changed the underlying process/control.</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review decisions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Demonstrate leadership oversight, resource decisions and improvement direction.</w:t>
            </w:r>
          </w:p>
        </w:tc>
      </w:tr>
    </w:tbl>
    <w:p>
      <w:pPr>
        <w:pStyle w:val="Heading1"/>
        <w:keepNext/>
        <w:spacing w:before="120" w:after="60" w:line="252" w:lineRule="auto"/>
      </w:pPr>
      <w:r>
        <w:rPr>
          <w:rFonts w:ascii="Cambria" w:hAnsi="Cambria" w:eastAsia="Cambria"/>
          <w:b/>
          <w:color w:val="1F4E79"/>
          <w:sz w:val="24"/>
        </w:rPr>
        <w:t>11. Integration with Other Management Systems</w:t>
      </w:r>
    </w:p>
    <w:p>
      <w:pPr>
        <w:spacing w:before="0" w:after="80" w:line="252" w:lineRule="auto"/>
      </w:pPr>
      <w:r>
        <w:rPr>
          <w:rFonts w:ascii="Cambria" w:hAnsi="Cambria" w:eastAsia="Cambria"/>
          <w:i w:val="0"/>
          <w:sz w:val="20"/>
        </w:rPr>
        <w:t>Where the organization also operates quality, environmental, occupational health &amp; safety, information security or anti-bribery systems, common processes such as document control, competence, internal audit, management review and corrective action can be integrated. Compliance-specific obligations, risks and case handling should remain sufficiently visible and accountable.</w:t>
      </w:r>
    </w:p>
    <w:p>
      <w:pPr>
        <w:pStyle w:val="Heading1"/>
        <w:keepNext/>
        <w:spacing w:before="120" w:after="60" w:line="252" w:lineRule="auto"/>
      </w:pPr>
      <w:r>
        <w:rPr>
          <w:rFonts w:ascii="Cambria" w:hAnsi="Cambria" w:eastAsia="Cambria"/>
          <w:b/>
          <w:color w:val="1F4E79"/>
          <w:sz w:val="24"/>
        </w:rPr>
        <w:t>12. Sustaining the CMS</w:t>
      </w:r>
    </w:p>
    <w:p>
      <w:pPr>
        <w:pStyle w:val="ListBullet"/>
        <w:spacing w:before="0" w:after="50" w:line="252" w:lineRule="auto"/>
      </w:pPr>
      <w:r>
        <w:rPr>
          <w:rFonts w:ascii="Cambria" w:hAnsi="Cambria" w:eastAsia="Cambria"/>
          <w:sz w:val="20"/>
        </w:rPr>
        <w:t>Refresh obligations and risk information on defined triggers.</w:t>
      </w:r>
    </w:p>
    <w:p>
      <w:pPr>
        <w:pStyle w:val="ListBullet"/>
        <w:spacing w:before="0" w:after="50" w:line="252" w:lineRule="auto"/>
      </w:pPr>
      <w:r>
        <w:rPr>
          <w:rFonts w:ascii="Cambria" w:hAnsi="Cambria" w:eastAsia="Cambria"/>
          <w:sz w:val="20"/>
        </w:rPr>
        <w:t>Maintain a forward audit / monitoring programme.</w:t>
      </w:r>
    </w:p>
    <w:p>
      <w:pPr>
        <w:pStyle w:val="ListBullet"/>
        <w:spacing w:before="0" w:after="50" w:line="252" w:lineRule="auto"/>
      </w:pPr>
      <w:r>
        <w:rPr>
          <w:rFonts w:ascii="Cambria" w:hAnsi="Cambria" w:eastAsia="Cambria"/>
          <w:sz w:val="20"/>
        </w:rPr>
        <w:t>Use management review to resolve cross-functional barriers and resource needs.</w:t>
      </w:r>
    </w:p>
    <w:p>
      <w:pPr>
        <w:pStyle w:val="ListBullet"/>
        <w:spacing w:before="0" w:after="50" w:line="252" w:lineRule="auto"/>
      </w:pPr>
      <w:r>
        <w:rPr>
          <w:rFonts w:ascii="Cambria" w:hAnsi="Cambria" w:eastAsia="Cambria"/>
          <w:sz w:val="20"/>
        </w:rPr>
        <w:t>Track systemic themes and repeated findings, not only individual actions.</w:t>
      </w:r>
    </w:p>
    <w:p>
      <w:pPr>
        <w:pStyle w:val="ListBullet"/>
        <w:spacing w:before="0" w:after="50" w:line="252" w:lineRule="auto"/>
      </w:pPr>
      <w:r>
        <w:rPr>
          <w:rFonts w:ascii="Cambria" w:hAnsi="Cambria" w:eastAsia="Cambria"/>
          <w:sz w:val="20"/>
        </w:rPr>
        <w:t>Update controls and training based on investigations, audits and regulatory / business change.</w:t>
      </w:r>
    </w:p>
    <w:p>
      <w:pPr>
        <w:pStyle w:val="Heading1"/>
        <w:keepNext/>
        <w:spacing w:before="120" w:after="60" w:line="252" w:lineRule="auto"/>
      </w:pPr>
      <w:r>
        <w:rPr>
          <w:rFonts w:ascii="Cambria" w:hAnsi="Cambria" w:eastAsia="Cambria"/>
          <w:b/>
          <w:color w:val="1F4E79"/>
          <w:sz w:val="24"/>
        </w:rPr>
        <w:t>13. References</w:t>
      </w:r>
    </w:p>
    <w:p>
      <w:pPr>
        <w:pStyle w:val="ListBullet"/>
        <w:spacing w:before="0" w:after="50" w:line="252" w:lineRule="auto"/>
      </w:pPr>
      <w:r>
        <w:rPr>
          <w:rFonts w:ascii="Cambria" w:hAnsi="Cambria" w:eastAsia="Cambria"/>
          <w:sz w:val="20"/>
        </w:rPr>
        <w:t>ISO 37301:2021 — Compliance management systems — Requirements with guidance for use.</w:t>
      </w:r>
    </w:p>
    <w:p>
      <w:pPr>
        <w:pStyle w:val="ListBullet"/>
        <w:spacing w:before="0" w:after="50" w:line="252" w:lineRule="auto"/>
      </w:pPr>
      <w:r>
        <w:rPr>
          <w:rFonts w:ascii="Cambria" w:hAnsi="Cambria" w:eastAsia="Cambria"/>
          <w:sz w:val="20"/>
        </w:rPr>
        <w:t>ISO 37301:2021/Amd 1:2024 — Climate action changes.</w:t>
      </w:r>
    </w:p>
    <w:p>
      <w:pPr>
        <w:pStyle w:val="ListBullet"/>
        <w:spacing w:before="0" w:after="50" w:line="252" w:lineRule="auto"/>
      </w:pPr>
      <w:r>
        <w:rPr>
          <w:rFonts w:ascii="Cambria" w:hAnsi="Cambria" w:eastAsia="Cambria"/>
          <w:sz w:val="20"/>
        </w:rPr>
        <w:t>Controlled organization-specific policies, obligations registers, risk assessments, procedures, registers and records.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Chief Compliance Officer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Management System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CMS-GOV-003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