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COMPLIANCE MANAGEMENT REVIEW PROCEDURE</w:t>
      </w:r>
    </w:p>
    <w:p>
      <w:pPr>
        <w:spacing w:after="120"/>
      </w:pPr>
      <w:r>
        <w:rPr>
          <w:rFonts w:ascii="Cambria" w:hAnsi="Cambria" w:eastAsia="Cambria"/>
          <w:b/>
          <w:sz w:val="23"/>
        </w:rPr>
        <w:t>ISO 37301:2021 + Amd 1:2024</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Chief Compliance Officer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Top Management / Governing Body</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Define a consistent process for top management to review the Compliance Management System at planned intervals, make decisions on suitability, adequacy and effectiveness, and ensure significant compliance matters receive appropriate governance attention.</w:t>
      </w:r>
    </w:p>
    <w:p>
      <w:pPr>
        <w:pStyle w:val="Heading1"/>
        <w:keepNext/>
        <w:spacing w:before="120" w:after="60" w:line="252" w:lineRule="auto"/>
      </w:pPr>
      <w:r>
        <w:rPr>
          <w:rFonts w:ascii="Cambria" w:hAnsi="Cambria" w:eastAsia="Cambria"/>
          <w:b/>
          <w:color w:val="1F4E79"/>
          <w:sz w:val="24"/>
        </w:rPr>
        <w:t>2. Scope</w:t>
      </w:r>
    </w:p>
    <w:p>
      <w:pPr>
        <w:spacing w:before="0" w:after="80" w:line="252" w:lineRule="auto"/>
      </w:pPr>
      <w:r>
        <w:rPr>
          <w:rFonts w:ascii="Cambria" w:hAnsi="Cambria" w:eastAsia="Cambria"/>
          <w:i w:val="0"/>
          <w:sz w:val="20"/>
        </w:rPr>
        <w:t>Applies to organization-level CMS management review and may be adapted for business-unit or regional reviews. It covers preparation, required information, meeting conduct, decisions, action tracking and records.</w:t>
      </w: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Management review should not expose confidential reporter identities, privileged legal advice or unnecessary personal case details. Use aggregated or appropriately restricted information unless a more detailed disclosure is authorized and necessary.</w:t>
            </w:r>
          </w:p>
        </w:tc>
      </w:tr>
    </w:tbl>
    <w:p>
      <w:pPr>
        <w:spacing w:after="20"/>
      </w:pPr>
    </w:p>
    <w:p>
      <w:pPr>
        <w:pStyle w:val="Heading1"/>
        <w:keepNext/>
        <w:spacing w:before="120" w:after="60" w:line="252" w:lineRule="auto"/>
      </w:pPr>
      <w:r>
        <w:rPr>
          <w:rFonts w:ascii="Cambria" w:hAnsi="Cambria" w:eastAsia="Cambria"/>
          <w:b/>
          <w:color w:val="1F4E79"/>
          <w:sz w:val="24"/>
        </w:rPr>
        <w:t>3. Responsibilities</w:t>
      </w:r>
    </w:p>
    <w:tbl>
      <w:tblPr>
        <w:tblW w:type="auto" w:w="0"/>
        <w:jc w:val="center"/>
        <w:tblLayout w:type="fixed"/>
        <w:tblLook w:val="04A0"/>
      </w:tblPr>
      <w:tblGrid>
        <w:gridCol w:w="4677"/>
        <w:gridCol w:w="4677"/>
      </w:tblGrid>
      <w:tr>
        <w:trPr>
          <w:tblHeader w:val="true"/>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Role</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Responsibility</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Top Management</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Chair or sponsor the review; challenge performance; decide resources, priorities and improvements.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Governing Body / Committee, where applicable</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Receive material CMS information and exercise oversight according to governance arrangements.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Chief Compliance Officer</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Coordinate the review, ensure balanced evidence, highlight material changes and propose decisions.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Process / Risk Owners</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Provide accurate inputs, explain performance and own assigned actions.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Secretary / CMS Coordinator</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Issue agenda, consolidate pack, record decisions/actions and maintain minutes.</w:t>
            </w:r>
          </w:p>
        </w:tc>
      </w:tr>
    </w:tbl>
    <w:p>
      <w:pPr>
        <w:pStyle w:val="Heading1"/>
        <w:keepNext/>
        <w:spacing w:before="120" w:after="60" w:line="252" w:lineRule="auto"/>
      </w:pPr>
      <w:r>
        <w:rPr>
          <w:rFonts w:ascii="Cambria" w:hAnsi="Cambria" w:eastAsia="Cambria"/>
          <w:b/>
          <w:color w:val="1F4E79"/>
          <w:sz w:val="24"/>
        </w:rPr>
        <w:t>4. Frequency and Triggers</w:t>
      </w:r>
    </w:p>
    <w:p>
      <w:pPr>
        <w:spacing w:before="0" w:after="80" w:line="252" w:lineRule="auto"/>
      </w:pPr>
      <w:r>
        <w:rPr>
          <w:rFonts w:ascii="Cambria" w:hAnsi="Cambria" w:eastAsia="Cambria"/>
          <w:i w:val="0"/>
          <w:sz w:val="20"/>
        </w:rPr>
        <w:t>Conduct review at planned intervals defined by the organization and more frequently when material changes or events warrant it. Additional review may be triggered by significant regulatory change, serious compliance concern, major audit finding, acquisition, market entry, restructuring, repeated overdue actions or material deterioration in compliance indicators.</w:t>
      </w:r>
    </w:p>
    <w:p>
      <w:pPr>
        <w:pStyle w:val="Heading1"/>
        <w:keepNext/>
        <w:spacing w:before="120" w:after="60" w:line="252" w:lineRule="auto"/>
      </w:pPr>
      <w:r>
        <w:rPr>
          <w:rFonts w:ascii="Cambria" w:hAnsi="Cambria" w:eastAsia="Cambria"/>
          <w:b/>
          <w:color w:val="1F4E79"/>
          <w:sz w:val="24"/>
        </w:rPr>
        <w:t>5. Required Review Inputs</w:t>
      </w:r>
    </w:p>
    <w:tbl>
      <w:tblPr>
        <w:tblW w:type="auto" w:w="0"/>
        <w:jc w:val="center"/>
        <w:tblLayout w:type="fixed"/>
        <w:tblLook w:val="04A0"/>
      </w:tblPr>
      <w:tblGrid>
        <w:gridCol w:w="4677"/>
        <w:gridCol w:w="4677"/>
      </w:tblGrid>
      <w:tr>
        <w:trPr>
          <w:tblHeader w:val="true"/>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Input area</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Minimum management information</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Context and interested parties</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Material internal/external changes; climate relevance where applicable; stakeholder expectations.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Compliance obligations</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Significant new/changed obligations, source-monitoring issues and applicability concerns.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Compliance risks and controls</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Top risks, risk trend, control effectiveness, emerging exposures and risk acceptance/escalation.</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Objectives and indicators</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Progress against CMS objectives, leading/lagging indicators and notable trends.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Compliance evaluation</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Status of evidence-based compliance evaluations and material exceptions.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Speak-up and investigations</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Aggregated concerns, case trends, substantiation themes, investigation timeliness and lessons learned.</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Third parties / suppliers</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Material due diligence, monitoring, audit or remediation issues.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Monitoring / audit</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Monitoring tests, internal audit, external assurance, recurring findings and overdue actions.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Corrective action / improvement</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Root causes, effectiveness verification, repeated issues and improvement opportunities.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Resources / competence / culture</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Capacity, independence, technology, training, awareness and culture indicators.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Previous decisions</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Status and effectiveness of prior management-review actions.</w:t>
            </w:r>
          </w:p>
        </w:tc>
      </w:tr>
    </w:tbl>
    <w:p>
      <w:pPr>
        <w:pStyle w:val="Heading1"/>
        <w:keepNext/>
        <w:spacing w:before="120" w:after="60" w:line="252" w:lineRule="auto"/>
      </w:pPr>
      <w:r>
        <w:rPr>
          <w:rFonts w:ascii="Cambria" w:hAnsi="Cambria" w:eastAsia="Cambria"/>
          <w:b/>
          <w:color w:val="1F4E79"/>
          <w:sz w:val="24"/>
        </w:rPr>
        <w:t>6. Procedure</w:t>
      </w:r>
    </w:p>
    <w:tbl>
      <w:tblPr>
        <w:tblW w:type="auto" w:w="0"/>
        <w:jc w:val="center"/>
        <w:tblLayout w:type="fixed"/>
        <w:tblLook w:val="04A0"/>
      </w:tblPr>
      <w:tblGrid>
        <w:gridCol w:w="1871"/>
        <w:gridCol w:w="1871"/>
        <w:gridCol w:w="1871"/>
        <w:gridCol w:w="1871"/>
        <w:gridCol w:w="1871"/>
      </w:tblGrid>
      <w:tr>
        <w:trPr>
          <w:tblHeader w:val="true"/>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Step</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Activity</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Responsible</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Control requirement</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Output</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1</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Schedule and scope</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CMS Coordinator</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Confirm review date, participants, scope, confidentiality and agenda.</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Approved agenda / calendar</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2</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Collect evidence</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Compliance Function / Owners</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Collect current data, explain limitations and distinguish actual results from examples.</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Review pack</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3</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Pre-review quality check</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Chief Compliance Officer</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Check completeness, materiality, trend context and escalation items.</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Reviewed pack</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4</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Conduct review</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Top Management</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Evaluate performance, changes, risk, resources, actions and improvement needs; challenge assumptions.</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Decisions / directions</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5</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Record outputs</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Secretary / CMS Coordinator</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Capture decisions, action, owner, due date, escalation and required follow-up evidence.</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Minutes / action log</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6</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Communicate decisions</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Chief Compliance Officer</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Distribute outputs according to confidentiality and governance requirements.</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Communication record</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7</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Follow up</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Action Owners</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Implement actions and provide evidence; escalate delays or barriers.</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Action evidence</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8</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Verify completion</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Compliance Function</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Check closure and effectiveness where required; carry unresolved items to next review.</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Closure / follow-up record</w:t>
            </w:r>
          </w:p>
        </w:tc>
      </w:tr>
    </w:tbl>
    <w:p>
      <w:pPr>
        <w:pStyle w:val="Heading1"/>
        <w:keepNext/>
        <w:spacing w:before="120" w:after="60" w:line="252" w:lineRule="auto"/>
      </w:pPr>
      <w:r>
        <w:rPr>
          <w:rFonts w:ascii="Cambria" w:hAnsi="Cambria" w:eastAsia="Cambria"/>
          <w:b/>
          <w:color w:val="1F4E79"/>
          <w:sz w:val="24"/>
        </w:rPr>
        <w:t>7. Required Outputs</w:t>
      </w:r>
    </w:p>
    <w:p>
      <w:pPr>
        <w:pStyle w:val="ListBullet"/>
        <w:spacing w:before="0" w:after="50" w:line="252" w:lineRule="auto"/>
      </w:pPr>
      <w:r>
        <w:rPr>
          <w:rFonts w:ascii="Cambria" w:hAnsi="Cambria" w:eastAsia="Cambria"/>
          <w:sz w:val="20"/>
        </w:rPr>
        <w:t>decisions on CMS suitability, adequacy and effectiveness;</w:t>
      </w:r>
    </w:p>
    <w:p>
      <w:pPr>
        <w:pStyle w:val="ListBullet"/>
        <w:spacing w:before="0" w:after="50" w:line="252" w:lineRule="auto"/>
      </w:pPr>
      <w:r>
        <w:rPr>
          <w:rFonts w:ascii="Cambria" w:hAnsi="Cambria" w:eastAsia="Cambria"/>
          <w:sz w:val="20"/>
        </w:rPr>
        <w:t>changes to priorities, objectives, risk treatment or controls;</w:t>
      </w:r>
    </w:p>
    <w:p>
      <w:pPr>
        <w:pStyle w:val="ListBullet"/>
        <w:spacing w:before="0" w:after="50" w:line="252" w:lineRule="auto"/>
      </w:pPr>
      <w:r>
        <w:rPr>
          <w:rFonts w:ascii="Cambria" w:hAnsi="Cambria" w:eastAsia="Cambria"/>
          <w:sz w:val="20"/>
        </w:rPr>
        <w:t>resource, competence, technology or independence decisions;</w:t>
      </w:r>
    </w:p>
    <w:p>
      <w:pPr>
        <w:pStyle w:val="ListBullet"/>
        <w:spacing w:before="0" w:after="50" w:line="252" w:lineRule="auto"/>
      </w:pPr>
      <w:r>
        <w:rPr>
          <w:rFonts w:ascii="Cambria" w:hAnsi="Cambria" w:eastAsia="Cambria"/>
          <w:sz w:val="20"/>
        </w:rPr>
        <w:t>actions relating to material obligations, investigations, third parties, audits or compliance-evaluation gaps;</w:t>
      </w:r>
    </w:p>
    <w:p>
      <w:pPr>
        <w:pStyle w:val="ListBullet"/>
        <w:spacing w:before="0" w:after="50" w:line="252" w:lineRule="auto"/>
      </w:pPr>
      <w:r>
        <w:rPr>
          <w:rFonts w:ascii="Cambria" w:hAnsi="Cambria" w:eastAsia="Cambria"/>
          <w:sz w:val="20"/>
        </w:rPr>
        <w:t>opportunities for continual improvement;</w:t>
      </w:r>
    </w:p>
    <w:p>
      <w:pPr>
        <w:pStyle w:val="ListBullet"/>
        <w:spacing w:before="0" w:after="50" w:line="252" w:lineRule="auto"/>
      </w:pPr>
      <w:r>
        <w:rPr>
          <w:rFonts w:ascii="Cambria" w:hAnsi="Cambria" w:eastAsia="Cambria"/>
          <w:sz w:val="20"/>
        </w:rPr>
        <w:t>matters requiring governing-body or specialist escalation.</w:t>
      </w:r>
    </w:p>
    <w:p>
      <w:pPr>
        <w:pStyle w:val="Heading1"/>
        <w:keepNext/>
        <w:spacing w:before="120" w:after="60" w:line="252" w:lineRule="auto"/>
      </w:pPr>
      <w:r>
        <w:rPr>
          <w:rFonts w:ascii="Cambria" w:hAnsi="Cambria" w:eastAsia="Cambria"/>
          <w:b/>
          <w:color w:val="1F4E79"/>
          <w:sz w:val="24"/>
        </w:rPr>
        <w:t>8. Records</w:t>
      </w:r>
    </w:p>
    <w:tbl>
      <w:tblPr>
        <w:tblW w:type="auto" w:w="0"/>
        <w:jc w:val="center"/>
        <w:tblLayout w:type="fixed"/>
        <w:tblLook w:val="04A0"/>
      </w:tblPr>
      <w:tblGrid>
        <w:gridCol w:w="3118"/>
        <w:gridCol w:w="3118"/>
        <w:gridCol w:w="3118"/>
      </w:tblGrid>
      <w:tr>
        <w:trPr>
          <w:tblHeader w:val="true"/>
        </w:trPr>
        <w:tc>
          <w:tcPr>
            <w:tcW w:type="dxa" w:w="300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Record</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Owner</w:t>
            </w:r>
          </w:p>
        </w:tc>
        <w:tc>
          <w:tcPr>
            <w:tcW w:type="dxa" w:w="36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Control</w:t>
            </w:r>
          </w:p>
        </w:tc>
      </w:tr>
      <w:tr>
        <w:trPr>
          <w:cantSplit/>
        </w:trPr>
        <w:tc>
          <w:tcPr>
            <w:tcW w:type="dxa" w:w="300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Agenda and review pack</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CMS Coordinator</w:t>
            </w:r>
          </w:p>
        </w:tc>
        <w:tc>
          <w:tcPr>
            <w:tcW w:type="dxa" w:w="36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Version-controlled; access appropriate to sensitivity.</w:t>
            </w:r>
          </w:p>
        </w:tc>
      </w:tr>
      <w:tr>
        <w:trPr>
          <w:cantSplit/>
        </w:trPr>
        <w:tc>
          <w:tcPr>
            <w:tcW w:type="dxa" w:w="300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Attendance / declarations</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Secretary</w:t>
            </w:r>
          </w:p>
        </w:tc>
        <w:tc>
          <w:tcPr>
            <w:tcW w:type="dxa" w:w="36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Retain with minutes where needed.</w:t>
            </w:r>
          </w:p>
        </w:tc>
      </w:tr>
      <w:tr>
        <w:trPr>
          <w:cantSplit/>
        </w:trPr>
        <w:tc>
          <w:tcPr>
            <w:tcW w:type="dxa" w:w="300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Minutes and decisions</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Secretary / Chief Compliance Officer</w:t>
            </w:r>
          </w:p>
        </w:tc>
        <w:tc>
          <w:tcPr>
            <w:tcW w:type="dxa" w:w="36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Approved or confirmed; clear action ownership and due dates.</w:t>
            </w:r>
          </w:p>
        </w:tc>
      </w:tr>
      <w:tr>
        <w:trPr>
          <w:cantSplit/>
        </w:trPr>
        <w:tc>
          <w:tcPr>
            <w:tcW w:type="dxa" w:w="300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Action tracker</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CMS Coordinator</w:t>
            </w:r>
          </w:p>
        </w:tc>
        <w:tc>
          <w:tcPr>
            <w:tcW w:type="dxa" w:w="36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Track status, evidence and escalation until closure.</w:t>
            </w:r>
          </w:p>
        </w:tc>
      </w:tr>
      <w:tr>
        <w:trPr>
          <w:cantSplit/>
        </w:trPr>
        <w:tc>
          <w:tcPr>
            <w:tcW w:type="dxa" w:w="300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Restricted annexes</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Authorized Owner</w:t>
            </w:r>
          </w:p>
        </w:tc>
        <w:tc>
          <w:tcPr>
            <w:tcW w:type="dxa" w:w="36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Separate protection for personal, investigation or privileged content.</w:t>
            </w:r>
          </w:p>
        </w:tc>
      </w:tr>
    </w:tbl>
    <w:p>
      <w:pPr>
        <w:pStyle w:val="Heading1"/>
        <w:keepNext/>
        <w:spacing w:before="120" w:after="60" w:line="252" w:lineRule="auto"/>
      </w:pPr>
      <w:r>
        <w:rPr>
          <w:rFonts w:ascii="Cambria" w:hAnsi="Cambria" w:eastAsia="Cambria"/>
          <w:b/>
          <w:color w:val="1F4E79"/>
          <w:sz w:val="24"/>
        </w:rPr>
        <w:t>References and Related Sources</w:t>
      </w:r>
    </w:p>
    <w:tbl>
      <w:tblPr>
        <w:tblW w:type="auto" w:w="0"/>
        <w:jc w:val="center"/>
        <w:tblLayout w:type="fixed"/>
        <w:tblLook w:val="04A0"/>
      </w:tblPr>
      <w:tblGrid>
        <w:gridCol w:w="3118"/>
        <w:gridCol w:w="3118"/>
        <w:gridCol w:w="3118"/>
      </w:tblGrid>
      <w:tr>
        <w:trPr>
          <w:tblHeader w:val="true"/>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Reference</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Use in this document</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Source / Location</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ISO 37301:2021</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Compliance management systems — requirements with guidance for use</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https://www.iso.org/standard/75080.html</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ISO 37301:2021/Amd 1:2024</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Climate action changes</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https://www.iso.org/standard/88422.html</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Organization CMS documented information</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Applicable policies, registers, procedures, audit records and management-review records</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[INTERNAL SOURCE / REPOSITORY]</w:t>
            </w:r>
          </w:p>
        </w:tc>
      </w:tr>
    </w:tbl>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Chief Compliance Officer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Top Management / Governing Body</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Compliance Management Review Procedure</w:t>
          </w:r>
        </w:p>
      </w:tc>
      <w:tc>
        <w:tcPr>
          <w:tcW w:type="dxa" w:w="2324"/>
          <w:tcMar>
            <w:top w:w="20" w:type="dxa"/>
            <w:left w:w="40" w:type="dxa"/>
            <w:bottom w:w="20" w:type="dxa"/>
            <w:right w:w="40" w:type="dxa"/>
          </w:tcMar>
        </w:tcPr>
        <w:p>
          <w:pPr>
            <w:jc w:val="right"/>
          </w:pPr>
          <w:r>
            <w:rPr>
              <w:rFonts w:ascii="Cambria" w:hAnsi="Cambria" w:eastAsia="Cambria"/>
              <w:b/>
              <w:color w:val="666666"/>
              <w:sz w:val="16"/>
            </w:rPr>
            <w:t>CMS-PRO-003</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